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B1" w:rsidRPr="009B37A3" w:rsidRDefault="006B17B1" w:rsidP="00683981">
      <w:pPr>
        <w:rPr>
          <w:b/>
          <w:u w:val="single"/>
        </w:rPr>
      </w:pPr>
      <w:r w:rsidRPr="009B37A3">
        <w:rPr>
          <w:b/>
          <w:u w:val="single"/>
        </w:rPr>
        <w:t>Annua</w:t>
      </w:r>
      <w:r w:rsidR="006F4B10" w:rsidRPr="009B37A3">
        <w:rPr>
          <w:b/>
          <w:u w:val="single"/>
        </w:rPr>
        <w:t>l Governance Statement – 2017/18</w:t>
      </w:r>
      <w:r w:rsidRPr="009B37A3">
        <w:rPr>
          <w:b/>
          <w:u w:val="single"/>
        </w:rPr>
        <w:t xml:space="preserve"> Financial </w:t>
      </w:r>
      <w:proofErr w:type="gramStart"/>
      <w:r w:rsidRPr="009B37A3">
        <w:rPr>
          <w:b/>
          <w:u w:val="single"/>
        </w:rPr>
        <w:t>Year</w:t>
      </w:r>
      <w:proofErr w:type="gramEnd"/>
    </w:p>
    <w:p w:rsidR="006B17B1" w:rsidRPr="009B37A3" w:rsidRDefault="006B17B1" w:rsidP="006B17B1">
      <w:pPr>
        <w:jc w:val="center"/>
        <w:rPr>
          <w:b/>
          <w:u w:val="single"/>
        </w:rPr>
      </w:pPr>
    </w:p>
    <w:p w:rsidR="006B17B1" w:rsidRPr="009B37A3" w:rsidRDefault="006B17B1" w:rsidP="006B17B1"/>
    <w:p w:rsidR="006B17B1" w:rsidRPr="009B37A3" w:rsidRDefault="006B17B1" w:rsidP="005344D8">
      <w:pPr>
        <w:numPr>
          <w:ilvl w:val="0"/>
          <w:numId w:val="1"/>
        </w:numPr>
        <w:tabs>
          <w:tab w:val="num" w:pos="567"/>
        </w:tabs>
        <w:ind w:left="567" w:hanging="567"/>
      </w:pPr>
      <w:r w:rsidRPr="009B37A3">
        <w:t>Oxford City Council</w:t>
      </w:r>
      <w:r w:rsidR="00695E90">
        <w:t xml:space="preserve"> (“the Council”) </w:t>
      </w:r>
      <w:r w:rsidRPr="009B37A3">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rsidR="006B17B1" w:rsidRPr="009B37A3" w:rsidRDefault="006B17B1" w:rsidP="006B17B1"/>
    <w:p w:rsidR="006B17B1" w:rsidRPr="009B37A3" w:rsidRDefault="006B17B1" w:rsidP="005344D8">
      <w:pPr>
        <w:numPr>
          <w:ilvl w:val="0"/>
          <w:numId w:val="1"/>
        </w:numPr>
        <w:tabs>
          <w:tab w:val="num" w:pos="567"/>
        </w:tabs>
        <w:ind w:left="567" w:hanging="567"/>
      </w:pPr>
      <w:r w:rsidRPr="009B37A3">
        <w:t xml:space="preserve">In discharging this overall responsibility, </w:t>
      </w:r>
      <w:r w:rsidR="00695E90">
        <w:t xml:space="preserve">the </w:t>
      </w:r>
      <w:r w:rsidRPr="009B37A3">
        <w:t>Council is responsible for putting in place proper arrangements for the governance of its affairs</w:t>
      </w:r>
      <w:r w:rsidR="002D39C6" w:rsidRPr="009B37A3">
        <w:t xml:space="preserve"> to</w:t>
      </w:r>
      <w:r w:rsidRPr="009B37A3">
        <w:t xml:space="preserve"> facilitat</w:t>
      </w:r>
      <w:r w:rsidR="002D39C6" w:rsidRPr="009B37A3">
        <w:t>e</w:t>
      </w:r>
      <w:r w:rsidRPr="009B37A3">
        <w:t xml:space="preserve"> the effective exercise of its functions, including arrangements for the management of risk.</w:t>
      </w:r>
    </w:p>
    <w:p w:rsidR="006B17B1" w:rsidRPr="009B37A3" w:rsidRDefault="006B17B1" w:rsidP="005344D8">
      <w:pPr>
        <w:tabs>
          <w:tab w:val="num" w:pos="567"/>
        </w:tabs>
        <w:ind w:left="567" w:hanging="567"/>
      </w:pPr>
    </w:p>
    <w:p w:rsidR="006B17B1" w:rsidRPr="009B37A3" w:rsidRDefault="006B17B1" w:rsidP="005344D8">
      <w:pPr>
        <w:numPr>
          <w:ilvl w:val="0"/>
          <w:numId w:val="1"/>
        </w:numPr>
        <w:tabs>
          <w:tab w:val="num" w:pos="567"/>
        </w:tabs>
        <w:ind w:left="567" w:hanging="567"/>
      </w:pPr>
      <w:r w:rsidRPr="009B37A3">
        <w:t xml:space="preserve">This statement explains how </w:t>
      </w:r>
      <w:r w:rsidR="00695E90">
        <w:t>the</w:t>
      </w:r>
      <w:r w:rsidRPr="009B37A3">
        <w:t xml:space="preserve"> Council meets the requirements</w:t>
      </w:r>
      <w:r w:rsidRPr="002D6528">
        <w:rPr>
          <w:rFonts w:cs="Arial"/>
        </w:rPr>
        <w:t xml:space="preserve"> of </w:t>
      </w:r>
      <w:r w:rsidR="00D43FC1" w:rsidRPr="002D6528">
        <w:rPr>
          <w:rFonts w:eastAsiaTheme="minorHAnsi" w:cs="Arial"/>
        </w:rPr>
        <w:t xml:space="preserve">The Accounts and Audit </w:t>
      </w:r>
      <w:r w:rsidR="00383886" w:rsidRPr="002D6528">
        <w:rPr>
          <w:rFonts w:eastAsiaTheme="minorHAnsi" w:cs="Arial"/>
        </w:rPr>
        <w:t xml:space="preserve">(England) </w:t>
      </w:r>
      <w:r w:rsidR="00D43FC1" w:rsidRPr="002D6528">
        <w:rPr>
          <w:rFonts w:eastAsiaTheme="minorHAnsi" w:cs="Arial"/>
        </w:rPr>
        <w:t>Regulations 2015</w:t>
      </w:r>
      <w:r w:rsidR="00383886" w:rsidRPr="002D6528">
        <w:rPr>
          <w:rFonts w:eastAsiaTheme="minorHAnsi" w:cs="Arial"/>
        </w:rPr>
        <w:t>.</w:t>
      </w:r>
      <w:r w:rsidR="00846E3B" w:rsidRPr="002D6528">
        <w:rPr>
          <w:rFonts w:eastAsiaTheme="minorHAnsi" w:cs="Arial"/>
        </w:rPr>
        <w:t xml:space="preserve"> </w:t>
      </w:r>
      <w:r w:rsidR="00383886" w:rsidRPr="002D6528">
        <w:rPr>
          <w:rFonts w:eastAsiaTheme="minorHAnsi" w:cs="Arial"/>
        </w:rPr>
        <w:t>Regulation 6(1) requires all relevant authorities to prepare an Ann</w:t>
      </w:r>
      <w:r w:rsidR="0011302F">
        <w:rPr>
          <w:rFonts w:eastAsiaTheme="minorHAnsi" w:cs="Arial"/>
        </w:rPr>
        <w:t>ual Governance Statement</w:t>
      </w:r>
      <w:r w:rsidR="00383886" w:rsidRPr="002D6528">
        <w:rPr>
          <w:rFonts w:eastAsiaTheme="minorHAnsi" w:cs="Arial"/>
        </w:rPr>
        <w:t>.</w:t>
      </w:r>
    </w:p>
    <w:p w:rsidR="006B17B1" w:rsidRPr="009B37A3" w:rsidRDefault="006B17B1" w:rsidP="006B17B1"/>
    <w:p w:rsidR="006B17B1" w:rsidRPr="009B37A3" w:rsidRDefault="006B17B1" w:rsidP="006B17B1"/>
    <w:p w:rsidR="006B17B1" w:rsidRPr="009B37A3" w:rsidRDefault="006B17B1" w:rsidP="006B17B1">
      <w:pPr>
        <w:rPr>
          <w:b/>
        </w:rPr>
      </w:pPr>
      <w:r w:rsidRPr="009B37A3">
        <w:rPr>
          <w:b/>
        </w:rPr>
        <w:t>The Purpose of the Governance Framework</w:t>
      </w:r>
    </w:p>
    <w:p w:rsidR="006B17B1" w:rsidRPr="009B37A3" w:rsidRDefault="006B17B1" w:rsidP="006B17B1"/>
    <w:p w:rsidR="006B17B1" w:rsidRPr="009B37A3" w:rsidRDefault="006B17B1" w:rsidP="005344D8">
      <w:pPr>
        <w:numPr>
          <w:ilvl w:val="0"/>
          <w:numId w:val="1"/>
        </w:numPr>
        <w:tabs>
          <w:tab w:val="num" w:pos="567"/>
        </w:tabs>
        <w:ind w:left="567" w:hanging="567"/>
      </w:pPr>
      <w:r w:rsidRPr="009B37A3">
        <w:t>The governance fra</w:t>
      </w:r>
      <w:r w:rsidR="002D39C6" w:rsidRPr="009B37A3">
        <w:t>mework comprises the systems,</w:t>
      </w:r>
      <w:r w:rsidRPr="009B37A3">
        <w:t xml:space="preserve"> processes</w:t>
      </w:r>
      <w:r w:rsidR="002D39C6" w:rsidRPr="009B37A3">
        <w:t>,</w:t>
      </w:r>
      <w:r w:rsidR="00276E68" w:rsidRPr="009B37A3">
        <w:t xml:space="preserve"> cultures and values</w:t>
      </w:r>
      <w:r w:rsidRPr="009B37A3">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Pr="009B37A3" w:rsidRDefault="006B17B1" w:rsidP="005344D8">
      <w:pPr>
        <w:tabs>
          <w:tab w:val="num" w:pos="567"/>
        </w:tabs>
        <w:ind w:left="567" w:hanging="567"/>
      </w:pPr>
    </w:p>
    <w:p w:rsidR="006B17B1" w:rsidRPr="009B37A3" w:rsidRDefault="006B17B1" w:rsidP="005344D8">
      <w:pPr>
        <w:numPr>
          <w:ilvl w:val="0"/>
          <w:numId w:val="1"/>
        </w:numPr>
        <w:tabs>
          <w:tab w:val="num" w:pos="567"/>
        </w:tabs>
        <w:ind w:left="567" w:hanging="567"/>
      </w:pPr>
      <w:r w:rsidRPr="009B37A3">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rsidRPr="009B37A3">
        <w:t>-</w:t>
      </w:r>
      <w:r w:rsidRPr="009B37A3">
        <w:t xml:space="preserve">going process designed to identify and prioritise the risks to the achievement of </w:t>
      </w:r>
      <w:r w:rsidR="00383886">
        <w:t>the</w:t>
      </w:r>
      <w:r w:rsidRPr="009B37A3">
        <w:t xml:space="preserve"> Council’s policies, aims and objectives, to evaluate the likelihood of those risks being realised and the impact should they be realised, and to manage them efficiently, effectively and economically.</w:t>
      </w:r>
    </w:p>
    <w:p w:rsidR="006B17B1" w:rsidRPr="009B37A3" w:rsidRDefault="006B17B1" w:rsidP="006B17B1"/>
    <w:p w:rsidR="006B17B1" w:rsidRDefault="006B17B1" w:rsidP="005344D8">
      <w:pPr>
        <w:numPr>
          <w:ilvl w:val="0"/>
          <w:numId w:val="1"/>
        </w:numPr>
        <w:tabs>
          <w:tab w:val="num" w:pos="567"/>
        </w:tabs>
        <w:ind w:left="567" w:hanging="567"/>
      </w:pPr>
      <w:r w:rsidRPr="009B37A3">
        <w:t xml:space="preserve">The governance framework has been in place at </w:t>
      </w:r>
      <w:r w:rsidR="00383886">
        <w:t>the</w:t>
      </w:r>
      <w:r w:rsidRPr="009B37A3">
        <w:t xml:space="preserve"> Council for the year ended 31</w:t>
      </w:r>
      <w:r w:rsidRPr="009B37A3">
        <w:rPr>
          <w:vertAlign w:val="superscript"/>
        </w:rPr>
        <w:t>st</w:t>
      </w:r>
      <w:r w:rsidR="00BC4B0B" w:rsidRPr="009B37A3">
        <w:t xml:space="preserve"> March 201</w:t>
      </w:r>
      <w:r w:rsidR="00667329" w:rsidRPr="009B37A3">
        <w:t>8</w:t>
      </w:r>
      <w:r w:rsidRPr="009B37A3">
        <w:t xml:space="preserve"> and up to the date of the approval of the accounts.</w:t>
      </w:r>
    </w:p>
    <w:p w:rsidR="009B2D21" w:rsidRDefault="009B2D21" w:rsidP="009B2D21">
      <w:pPr>
        <w:pStyle w:val="ListParagraph"/>
      </w:pPr>
    </w:p>
    <w:p w:rsidR="009B2D21" w:rsidRDefault="009B2D21" w:rsidP="009B2D21"/>
    <w:p w:rsidR="009B2D21" w:rsidRDefault="009B2D21" w:rsidP="009B2D21">
      <w:pPr>
        <w:tabs>
          <w:tab w:val="num" w:pos="567"/>
        </w:tabs>
      </w:pPr>
      <w:r>
        <w:rPr>
          <w:b/>
        </w:rPr>
        <w:t>Policies, Procedures, Laws and Regulations</w:t>
      </w:r>
    </w:p>
    <w:p w:rsidR="009B2D21" w:rsidRDefault="009B2D21" w:rsidP="009B2D21">
      <w:pPr>
        <w:pStyle w:val="ListParagraph"/>
      </w:pPr>
    </w:p>
    <w:p w:rsidR="009B2D21" w:rsidRDefault="009B2D21" w:rsidP="009B2D21">
      <w:pPr>
        <w:pStyle w:val="ListParagraph"/>
        <w:numPr>
          <w:ilvl w:val="0"/>
          <w:numId w:val="1"/>
        </w:numPr>
        <w:tabs>
          <w:tab w:val="clear" w:pos="1080"/>
          <w:tab w:val="num" w:pos="567"/>
        </w:tabs>
        <w:ind w:left="567" w:hanging="567"/>
      </w:pPr>
      <w:r>
        <w:t>The Head of Law and Governance is designated as the Council’s Monitoring Officer. It is the function of the Monitoring Officer to ensure compliance with established policies, procedures, laws and regulations.</w:t>
      </w:r>
    </w:p>
    <w:p w:rsidR="009B2D21" w:rsidRDefault="009B2D21" w:rsidP="009B2D21">
      <w:pPr>
        <w:tabs>
          <w:tab w:val="num" w:pos="567"/>
        </w:tabs>
      </w:pPr>
    </w:p>
    <w:p w:rsidR="009B2D21" w:rsidRDefault="009B2D21" w:rsidP="009B2D21">
      <w:pPr>
        <w:pStyle w:val="ListParagraph"/>
        <w:numPr>
          <w:ilvl w:val="0"/>
          <w:numId w:val="1"/>
        </w:numPr>
        <w:tabs>
          <w:tab w:val="clear" w:pos="1080"/>
          <w:tab w:val="num" w:pos="567"/>
        </w:tabs>
        <w:ind w:left="567" w:hanging="567"/>
      </w:pPr>
      <w:r>
        <w:t xml:space="preserve">The financial management of the authority is conducted in accordance with the relevant provisions of the Constitution and the Council’s Financial Rules. The </w:t>
      </w:r>
      <w:r>
        <w:lastRenderedPageBreak/>
        <w:t>Council has designated the Head of Finance as the Chief Finance Officer in accordance with section 151 of the Local Government Act 1972.</w:t>
      </w:r>
    </w:p>
    <w:p w:rsidR="009B2D21" w:rsidRDefault="009B2D21" w:rsidP="009B2D21">
      <w:pPr>
        <w:pStyle w:val="ListParagraph"/>
      </w:pPr>
    </w:p>
    <w:p w:rsidR="009B2D21" w:rsidRDefault="0011302F" w:rsidP="009B2D21">
      <w:pPr>
        <w:pStyle w:val="ListParagraph"/>
        <w:numPr>
          <w:ilvl w:val="0"/>
          <w:numId w:val="1"/>
        </w:numPr>
        <w:tabs>
          <w:tab w:val="clear" w:pos="1080"/>
          <w:tab w:val="num" w:pos="567"/>
        </w:tabs>
        <w:ind w:left="567" w:hanging="567"/>
      </w:pPr>
      <w:r>
        <w:t>The C</w:t>
      </w:r>
      <w:r w:rsidR="009B2D21">
        <w:t>ouncil has robust policies and procedures relating to the use of resources and the corporate governance framework, including Finance Rules, Contract Rules, scheme of delegation, IT strategy, Avoiding Bribery Fraud and Corruption Policy and Whistleblowing Policy</w:t>
      </w:r>
    </w:p>
    <w:p w:rsidR="006B17B1" w:rsidRPr="009B37A3" w:rsidRDefault="006B17B1" w:rsidP="006B17B1"/>
    <w:p w:rsidR="006B17B1" w:rsidRPr="009B37A3" w:rsidRDefault="006B17B1" w:rsidP="006B17B1"/>
    <w:p w:rsidR="006B17B1" w:rsidRPr="009B37A3" w:rsidRDefault="006B17B1" w:rsidP="006B17B1">
      <w:pPr>
        <w:rPr>
          <w:b/>
        </w:rPr>
      </w:pPr>
      <w:r w:rsidRPr="009B37A3">
        <w:rPr>
          <w:b/>
        </w:rPr>
        <w:t>The Governance Framework</w:t>
      </w:r>
    </w:p>
    <w:p w:rsidR="006B17B1" w:rsidRPr="009B37A3" w:rsidRDefault="006B17B1" w:rsidP="006B17B1"/>
    <w:p w:rsidR="006B17B1" w:rsidRDefault="0099114F" w:rsidP="005344D8">
      <w:pPr>
        <w:numPr>
          <w:ilvl w:val="0"/>
          <w:numId w:val="1"/>
        </w:numPr>
        <w:tabs>
          <w:tab w:val="num" w:pos="567"/>
        </w:tabs>
        <w:ind w:left="567" w:hanging="567"/>
      </w:pPr>
      <w:r w:rsidRPr="009B37A3">
        <w:t>The Corporate Plan 201</w:t>
      </w:r>
      <w:r w:rsidR="00B55031" w:rsidRPr="009B37A3">
        <w:t>6-2020</w:t>
      </w:r>
      <w:r w:rsidR="00383886">
        <w:t xml:space="preserve"> reaffirms the</w:t>
      </w:r>
      <w:r w:rsidR="006B17B1" w:rsidRPr="009B37A3">
        <w:t xml:space="preserve"> Council’s ambitions to make Oxford a world-class city for everyone. This ambition was developed with partners across the city, including business, community organisations, the health and education sectors and the </w:t>
      </w:r>
      <w:r w:rsidR="008F1242">
        <w:t xml:space="preserve">Oxfordshire </w:t>
      </w:r>
      <w:r w:rsidR="006B17B1" w:rsidRPr="009B37A3">
        <w:t>County Council. It also sets out the Council’s plans for transforming the way that the Council performs. The aspiration is to be a world-class council, delivering high quality services and providing excellent value for money. This Corporate Plan</w:t>
      </w:r>
      <w:r w:rsidR="00396EA4" w:rsidRPr="009B37A3">
        <w:t xml:space="preserve"> was </w:t>
      </w:r>
      <w:r w:rsidR="008F1242">
        <w:t>re-</w:t>
      </w:r>
      <w:r w:rsidR="00396EA4" w:rsidRPr="009B37A3">
        <w:t xml:space="preserve">adopted by Council </w:t>
      </w:r>
      <w:r w:rsidR="008F1242">
        <w:t>on 13</w:t>
      </w:r>
      <w:r w:rsidR="004F68DC" w:rsidRPr="009B37A3">
        <w:rPr>
          <w:vertAlign w:val="superscript"/>
        </w:rPr>
        <w:t>th</w:t>
      </w:r>
      <w:r w:rsidR="008F1242">
        <w:t xml:space="preserve"> February 2018</w:t>
      </w:r>
      <w:r w:rsidR="004F68DC" w:rsidRPr="009B37A3">
        <w:t xml:space="preserve"> </w:t>
      </w:r>
      <w:r w:rsidR="00396EA4" w:rsidRPr="009B37A3">
        <w:t>and</w:t>
      </w:r>
      <w:r w:rsidR="006B17B1" w:rsidRPr="009B37A3">
        <w:t xml:space="preserve"> sets out the changed policy and financial contexts in which the </w:t>
      </w:r>
      <w:r w:rsidR="00383886">
        <w:t xml:space="preserve">Council is working and the </w:t>
      </w:r>
      <w:r w:rsidR="006B17B1" w:rsidRPr="009B37A3">
        <w:t xml:space="preserve">Council’s response to this changed environment. </w:t>
      </w:r>
    </w:p>
    <w:p w:rsidR="008F1242" w:rsidRDefault="008F1242" w:rsidP="008F1242"/>
    <w:p w:rsidR="008F1242" w:rsidRPr="009B37A3" w:rsidRDefault="008F1242" w:rsidP="008F1242">
      <w:pPr>
        <w:pStyle w:val="ListParagraph"/>
        <w:numPr>
          <w:ilvl w:val="0"/>
          <w:numId w:val="1"/>
        </w:numPr>
        <w:tabs>
          <w:tab w:val="clear" w:pos="1080"/>
          <w:tab w:val="num" w:pos="567"/>
        </w:tabs>
        <w:ind w:left="567" w:hanging="567"/>
      </w:pPr>
      <w:r w:rsidRPr="009B37A3">
        <w:t>The Council has set out in its Corporate Plan the importance of partnership working and identified its key strategic partnerships. Political and managerial leadership is communicated and where appropriate co-ordinated between the public bodies serving the resi</w:t>
      </w:r>
      <w:r w:rsidR="0011302F">
        <w:t>dents of the city. The Council</w:t>
      </w:r>
      <w:r w:rsidRPr="009B37A3">
        <w:t xml:space="preserve"> has adopted and published a consultation framework.</w:t>
      </w:r>
    </w:p>
    <w:p w:rsidR="006B17B1" w:rsidRPr="009B37A3" w:rsidRDefault="006B17B1" w:rsidP="006B17B1"/>
    <w:p w:rsidR="006B17B1" w:rsidRPr="009B37A3" w:rsidRDefault="00383886" w:rsidP="005344D8">
      <w:pPr>
        <w:numPr>
          <w:ilvl w:val="0"/>
          <w:numId w:val="1"/>
        </w:numPr>
        <w:tabs>
          <w:tab w:val="num" w:pos="567"/>
        </w:tabs>
        <w:ind w:left="567" w:hanging="567"/>
      </w:pPr>
      <w:r>
        <w:t xml:space="preserve">The </w:t>
      </w:r>
      <w:r w:rsidR="006B17B1" w:rsidRPr="009B37A3">
        <w:t xml:space="preserve">Council’s priorities </w:t>
      </w:r>
      <w:r w:rsidR="001971B1" w:rsidRPr="009B37A3">
        <w:t>are</w:t>
      </w:r>
      <w:r w:rsidR="006B17B1" w:rsidRPr="009B37A3">
        <w:t>:</w:t>
      </w:r>
    </w:p>
    <w:p w:rsidR="006B17B1" w:rsidRPr="009B37A3" w:rsidRDefault="006B17B1" w:rsidP="006B17B1"/>
    <w:p w:rsidR="00B55031" w:rsidRPr="009B37A3" w:rsidRDefault="00B55031" w:rsidP="00B55031">
      <w:pPr>
        <w:numPr>
          <w:ilvl w:val="1"/>
          <w:numId w:val="1"/>
        </w:numPr>
      </w:pPr>
      <w:r w:rsidRPr="009B37A3">
        <w:t>A vibrant and sustainable economy</w:t>
      </w:r>
    </w:p>
    <w:p w:rsidR="00B55031" w:rsidRPr="009B37A3" w:rsidRDefault="00B55031" w:rsidP="00B55031">
      <w:pPr>
        <w:numPr>
          <w:ilvl w:val="1"/>
          <w:numId w:val="1"/>
        </w:numPr>
      </w:pPr>
      <w:r w:rsidRPr="009B37A3">
        <w:t>Meeting housing needs</w:t>
      </w:r>
    </w:p>
    <w:p w:rsidR="00B55031" w:rsidRPr="009B37A3" w:rsidRDefault="00B55031" w:rsidP="00B55031">
      <w:pPr>
        <w:numPr>
          <w:ilvl w:val="1"/>
          <w:numId w:val="1"/>
        </w:numPr>
      </w:pPr>
      <w:r w:rsidRPr="009B37A3">
        <w:t>Strong and active communities</w:t>
      </w:r>
    </w:p>
    <w:p w:rsidR="00B55031" w:rsidRPr="009B37A3" w:rsidRDefault="00B55031" w:rsidP="00B55031">
      <w:pPr>
        <w:numPr>
          <w:ilvl w:val="1"/>
          <w:numId w:val="1"/>
        </w:numPr>
      </w:pPr>
      <w:r w:rsidRPr="009B37A3">
        <w:t>A clean and green city</w:t>
      </w:r>
    </w:p>
    <w:p w:rsidR="00B55031" w:rsidRPr="009B37A3" w:rsidRDefault="00B55031" w:rsidP="00B55031">
      <w:pPr>
        <w:numPr>
          <w:ilvl w:val="1"/>
          <w:numId w:val="1"/>
        </w:numPr>
      </w:pPr>
      <w:r w:rsidRPr="009B37A3">
        <w:t>An efficient and effective council</w:t>
      </w:r>
    </w:p>
    <w:p w:rsidR="006B17B1" w:rsidRPr="009B37A3" w:rsidRDefault="006B17B1" w:rsidP="006B17B1"/>
    <w:p w:rsidR="006B17B1" w:rsidRPr="009B37A3" w:rsidRDefault="00BC4719" w:rsidP="005344D8">
      <w:pPr>
        <w:ind w:left="567"/>
      </w:pPr>
      <w:r w:rsidRPr="009B37A3">
        <w:t xml:space="preserve">The </w:t>
      </w:r>
      <w:r w:rsidR="006B17B1" w:rsidRPr="009B37A3">
        <w:t>Council has also adopted and published targets for the Corporate Plan measures.</w:t>
      </w:r>
    </w:p>
    <w:p w:rsidR="006B17B1" w:rsidRPr="009B37A3" w:rsidRDefault="006B17B1" w:rsidP="006B17B1"/>
    <w:p w:rsidR="004F68DC" w:rsidRPr="009B37A3" w:rsidRDefault="004F68DC" w:rsidP="007D260B">
      <w:pPr>
        <w:numPr>
          <w:ilvl w:val="0"/>
          <w:numId w:val="1"/>
        </w:numPr>
        <w:tabs>
          <w:tab w:val="num" w:pos="567"/>
        </w:tabs>
        <w:ind w:left="567" w:hanging="567"/>
      </w:pPr>
      <w:r w:rsidRPr="009B37A3">
        <w:rPr>
          <w:rFonts w:cs="Arial"/>
        </w:rPr>
        <w:t xml:space="preserve">The Council has embedded its use of </w:t>
      </w:r>
      <w:proofErr w:type="spellStart"/>
      <w:r w:rsidRPr="009B37A3">
        <w:rPr>
          <w:rFonts w:cs="Arial"/>
        </w:rPr>
        <w:t>CorVu</w:t>
      </w:r>
      <w:proofErr w:type="spellEnd"/>
      <w:r w:rsidRPr="009B37A3">
        <w:rPr>
          <w:rFonts w:cs="Arial"/>
        </w:rPr>
        <w:t xml:space="preserve"> as a tool for the recording, reporting and analysis of performance, budget and risk. </w:t>
      </w:r>
      <w:proofErr w:type="spellStart"/>
      <w:r w:rsidRPr="009B37A3">
        <w:rPr>
          <w:rFonts w:cs="Arial"/>
          <w:spacing w:val="4"/>
          <w:lang w:val="en" w:eastAsia="en-GB"/>
        </w:rPr>
        <w:t>CorVu</w:t>
      </w:r>
      <w:proofErr w:type="spellEnd"/>
      <w:r w:rsidRPr="009B37A3">
        <w:rPr>
          <w:rFonts w:cs="Arial"/>
          <w:spacing w:val="4"/>
          <w:lang w:val="en" w:eastAsia="en-GB"/>
        </w:rPr>
        <w:t xml:space="preserve"> holds </w:t>
      </w:r>
      <w:r w:rsidR="007D260B">
        <w:rPr>
          <w:rFonts w:cs="Arial"/>
          <w:spacing w:val="4"/>
          <w:lang w:val="en" w:eastAsia="en-GB"/>
        </w:rPr>
        <w:t xml:space="preserve">all of the Council’s corporate, service </w:t>
      </w:r>
      <w:r w:rsidRPr="009B37A3">
        <w:rPr>
          <w:rFonts w:cs="Arial"/>
          <w:spacing w:val="4"/>
          <w:lang w:val="en" w:eastAsia="en-GB"/>
        </w:rPr>
        <w:t>and team level performance targets, corporate and service level risk registers and is used to track and report on all internal and external audit recommendations.</w:t>
      </w:r>
    </w:p>
    <w:p w:rsidR="004F68DC" w:rsidRPr="009B37A3" w:rsidRDefault="004F68DC" w:rsidP="004F68DC"/>
    <w:p w:rsidR="009B2D21" w:rsidRDefault="004F68DC" w:rsidP="009B2D21">
      <w:pPr>
        <w:numPr>
          <w:ilvl w:val="0"/>
          <w:numId w:val="1"/>
        </w:numPr>
        <w:tabs>
          <w:tab w:val="num" w:pos="567"/>
        </w:tabs>
        <w:ind w:left="567" w:hanging="567"/>
      </w:pPr>
      <w:r w:rsidRPr="009B37A3">
        <w:t xml:space="preserve">The Council continues to use </w:t>
      </w:r>
      <w:proofErr w:type="spellStart"/>
      <w:r w:rsidRPr="009B37A3">
        <w:t>CorVu</w:t>
      </w:r>
      <w:proofErr w:type="spellEnd"/>
      <w:r w:rsidRPr="009B37A3">
        <w:t xml:space="preserve"> for financial reporting and for integrated financial, performance and risk reporting to the City Executive Board on a quarterly basis.</w:t>
      </w:r>
    </w:p>
    <w:p w:rsidR="009B2D21" w:rsidRDefault="009B2D21" w:rsidP="009B2D21">
      <w:pPr>
        <w:pStyle w:val="ListParagraph"/>
      </w:pPr>
    </w:p>
    <w:p w:rsidR="006B17B1" w:rsidRPr="009B37A3" w:rsidRDefault="006B17B1" w:rsidP="009B2D21">
      <w:pPr>
        <w:numPr>
          <w:ilvl w:val="0"/>
          <w:numId w:val="1"/>
        </w:numPr>
        <w:tabs>
          <w:tab w:val="num" w:pos="567"/>
        </w:tabs>
        <w:ind w:left="567" w:hanging="567"/>
      </w:pPr>
      <w:r w:rsidRPr="009B37A3">
        <w:lastRenderedPageBreak/>
        <w:t>A number of Programme Board</w:t>
      </w:r>
      <w:r w:rsidR="00B55031" w:rsidRPr="009B37A3">
        <w:t>s were in p</w:t>
      </w:r>
      <w:r w:rsidR="004C29E1" w:rsidRPr="009B37A3">
        <w:t xml:space="preserve">lace throughout </w:t>
      </w:r>
      <w:r w:rsidR="00667329" w:rsidRPr="009B37A3">
        <w:t>20</w:t>
      </w:r>
      <w:r w:rsidR="009B2D21">
        <w:t>1</w:t>
      </w:r>
      <w:r w:rsidR="00667329" w:rsidRPr="009B37A3">
        <w:t>7/18</w:t>
      </w:r>
      <w:r w:rsidRPr="009B37A3">
        <w:t xml:space="preserve"> and provided effective oversight of the large number of projects on</w:t>
      </w:r>
      <w:r w:rsidR="00984BE0" w:rsidRPr="009B37A3">
        <w:t>-</w:t>
      </w:r>
      <w:r w:rsidRPr="009B37A3">
        <w:t>going.</w:t>
      </w:r>
      <w:r w:rsidR="00F33D5C" w:rsidRPr="009B37A3">
        <w:t xml:space="preserve"> </w:t>
      </w:r>
      <w:r w:rsidR="00683981" w:rsidRPr="009B37A3">
        <w:t xml:space="preserve">The Council continued to use the principles of </w:t>
      </w:r>
      <w:r w:rsidR="009B2D21">
        <w:rPr>
          <w:rFonts w:cs="Arial"/>
          <w:spacing w:val="4"/>
          <w:lang w:val="en"/>
        </w:rPr>
        <w:t xml:space="preserve">Projects </w:t>
      </w:r>
      <w:proofErr w:type="gramStart"/>
      <w:r w:rsidR="009B2D21">
        <w:rPr>
          <w:rFonts w:cs="Arial"/>
          <w:spacing w:val="4"/>
          <w:lang w:val="en"/>
        </w:rPr>
        <w:t>In</w:t>
      </w:r>
      <w:proofErr w:type="gramEnd"/>
      <w:r w:rsidR="009B2D21" w:rsidRPr="009B2D21">
        <w:rPr>
          <w:rFonts w:cs="Arial"/>
          <w:spacing w:val="4"/>
          <w:lang w:val="en"/>
        </w:rPr>
        <w:t xml:space="preserve"> Controlled Environments</w:t>
      </w:r>
      <w:r w:rsidR="009B2D21" w:rsidRPr="009B37A3">
        <w:t xml:space="preserve"> </w:t>
      </w:r>
      <w:r w:rsidR="009B2D21">
        <w:t>(“</w:t>
      </w:r>
      <w:r w:rsidRPr="009B37A3">
        <w:t>Prince 2</w:t>
      </w:r>
      <w:r w:rsidR="009B2D21">
        <w:t>”)</w:t>
      </w:r>
      <w:r w:rsidRPr="009B37A3">
        <w:t xml:space="preserve"> </w:t>
      </w:r>
      <w:r w:rsidR="00B55AE3" w:rsidRPr="009B37A3">
        <w:t xml:space="preserve">in its </w:t>
      </w:r>
      <w:r w:rsidRPr="009B37A3">
        <w:t>approach to programme and project management</w:t>
      </w:r>
      <w:r w:rsidR="00D43FC1" w:rsidRPr="009B37A3">
        <w:t>.</w:t>
      </w:r>
      <w:r w:rsidR="00DB5C2A" w:rsidRPr="009B37A3">
        <w:t xml:space="preserve"> </w:t>
      </w:r>
      <w:r w:rsidR="00C5703C" w:rsidRPr="009B37A3">
        <w:t xml:space="preserve">Prince 2 is </w:t>
      </w:r>
      <w:r w:rsidR="00C5703C" w:rsidRPr="009B2D21">
        <w:rPr>
          <w:rFonts w:cs="Arial"/>
          <w:spacing w:val="4"/>
          <w:lang w:val="en"/>
        </w:rPr>
        <w:t>a project management method which is process-based and is owned by the Cabinet Office. It is a methodology widely used in government and the public sector</w:t>
      </w:r>
      <w:r w:rsidR="009B2D21">
        <w:rPr>
          <w:rFonts w:cs="Arial"/>
          <w:spacing w:val="4"/>
          <w:lang w:val="en"/>
        </w:rPr>
        <w:t>.</w:t>
      </w:r>
    </w:p>
    <w:p w:rsidR="00A330BA" w:rsidRPr="009B37A3" w:rsidRDefault="00A330BA" w:rsidP="00A330BA">
      <w:pPr>
        <w:pStyle w:val="ListParagraph"/>
      </w:pPr>
    </w:p>
    <w:p w:rsidR="00A330BA" w:rsidRPr="009B37A3" w:rsidRDefault="00A330BA" w:rsidP="00A330BA">
      <w:pPr>
        <w:numPr>
          <w:ilvl w:val="0"/>
          <w:numId w:val="1"/>
        </w:numPr>
        <w:tabs>
          <w:tab w:val="num" w:pos="567"/>
        </w:tabs>
        <w:ind w:left="567" w:hanging="567"/>
      </w:pPr>
      <w:r w:rsidRPr="009B37A3">
        <w:rPr>
          <w:rFonts w:cs="Arial"/>
        </w:rPr>
        <w:t>The Capital Gateway framework was consolidated during the year with on-going involvement in programme delivery. The</w:t>
      </w:r>
      <w:r w:rsidR="005344D8" w:rsidRPr="009B37A3">
        <w:t xml:space="preserve"> C</w:t>
      </w:r>
      <w:r w:rsidR="004E5B9D" w:rsidRPr="009B37A3">
        <w:t>apital Gateway framework i</w:t>
      </w:r>
      <w:r w:rsidR="005344D8" w:rsidRPr="009B37A3">
        <w:t>s intended to enhance both Project Sponsors</w:t>
      </w:r>
      <w:r w:rsidR="00D76AA0" w:rsidRPr="009B37A3">
        <w:t>’</w:t>
      </w:r>
      <w:r w:rsidR="005344D8" w:rsidRPr="009B37A3">
        <w:t xml:space="preserve"> and Project Managers</w:t>
      </w:r>
      <w:r w:rsidR="00D76AA0" w:rsidRPr="009B37A3">
        <w:t>’</w:t>
      </w:r>
      <w:r w:rsidR="005344D8" w:rsidRPr="009B37A3">
        <w:t xml:space="preserve"> compliance with excellent project management practices, together with ensuring greater successful delivery of the Council’s capital projects. Project Managers and other officers </w:t>
      </w:r>
      <w:r w:rsidR="002D39C6" w:rsidRPr="009B37A3">
        <w:t>involved with the delivery of the Council’s C</w:t>
      </w:r>
      <w:r w:rsidR="005344D8" w:rsidRPr="009B37A3">
        <w:t xml:space="preserve">apital </w:t>
      </w:r>
      <w:r w:rsidR="002D39C6" w:rsidRPr="009B37A3">
        <w:t>P</w:t>
      </w:r>
      <w:r w:rsidR="005344D8" w:rsidRPr="009B37A3">
        <w:t>rogramme are required to attend Capital Gateway training so that they are familiar with both the documentation required and the tasks demanded at each stage (gateway) of delivery.</w:t>
      </w:r>
    </w:p>
    <w:p w:rsidR="00DF1B40" w:rsidRPr="009B37A3" w:rsidRDefault="00DF1B40" w:rsidP="00263FE9">
      <w:pPr>
        <w:rPr>
          <w:rFonts w:cs="Arial"/>
          <w:sz w:val="22"/>
          <w:szCs w:val="22"/>
        </w:rPr>
      </w:pPr>
    </w:p>
    <w:p w:rsidR="009A66F9" w:rsidRPr="009A66F9" w:rsidRDefault="00A330BA" w:rsidP="009A66F9">
      <w:pPr>
        <w:pStyle w:val="ListParagraph"/>
        <w:numPr>
          <w:ilvl w:val="0"/>
          <w:numId w:val="1"/>
        </w:numPr>
        <w:tabs>
          <w:tab w:val="clear" w:pos="1080"/>
          <w:tab w:val="num" w:pos="567"/>
        </w:tabs>
        <w:ind w:left="567" w:hanging="567"/>
        <w:rPr>
          <w:rFonts w:cs="Arial"/>
          <w:color w:val="1F497D"/>
          <w:sz w:val="22"/>
          <w:szCs w:val="22"/>
        </w:rPr>
      </w:pPr>
      <w:r w:rsidRPr="009B37A3">
        <w:rPr>
          <w:rFonts w:cs="Arial"/>
        </w:rPr>
        <w:t xml:space="preserve">There have been a number of changes during 2017/18 including the formation of the Direct Services Local Authority Trading Company and on-going work to deliver homes through the Oxford Housing Company that have continued to be managed through the existing </w:t>
      </w:r>
      <w:r w:rsidR="007D260B">
        <w:rPr>
          <w:rFonts w:cs="Arial"/>
        </w:rPr>
        <w:t xml:space="preserve">Programme </w:t>
      </w:r>
      <w:r w:rsidRPr="009B37A3">
        <w:rPr>
          <w:rFonts w:cs="Arial"/>
        </w:rPr>
        <w:t xml:space="preserve">Board structure.  Alongside this there </w:t>
      </w:r>
      <w:r w:rsidR="007D260B">
        <w:rPr>
          <w:rFonts w:cs="Arial"/>
        </w:rPr>
        <w:t>are</w:t>
      </w:r>
      <w:r w:rsidRPr="009B37A3">
        <w:rPr>
          <w:rFonts w:cs="Arial"/>
        </w:rPr>
        <w:t xml:space="preserve"> significant private and public sector investment proposals </w:t>
      </w:r>
      <w:r w:rsidR="007D260B">
        <w:rPr>
          <w:rFonts w:cs="Arial"/>
        </w:rPr>
        <w:t xml:space="preserve">as well as the new </w:t>
      </w:r>
      <w:r w:rsidR="009B2D21">
        <w:rPr>
          <w:rFonts w:cs="Arial"/>
        </w:rPr>
        <w:t xml:space="preserve">Housing and </w:t>
      </w:r>
      <w:r w:rsidR="007D260B">
        <w:rPr>
          <w:rFonts w:cs="Arial"/>
        </w:rPr>
        <w:t xml:space="preserve">Growth Deal.  </w:t>
      </w:r>
      <w:r w:rsidRPr="009B37A3">
        <w:rPr>
          <w:rFonts w:cs="Arial"/>
        </w:rPr>
        <w:t>As a result, a r</w:t>
      </w:r>
      <w:r w:rsidR="007D260B">
        <w:rPr>
          <w:rFonts w:cs="Arial"/>
        </w:rPr>
        <w:t>efresh of the Programme Boards s</w:t>
      </w:r>
      <w:r w:rsidRPr="009B37A3">
        <w:rPr>
          <w:rFonts w:cs="Arial"/>
        </w:rPr>
        <w:t>tructure, governance and reporting arrangements is planned for 2018/19.  It aims to build on best practice and ensure a consistent, robust corporate approach to project delivery that can respond to the emerging challenges and opportunities the Council faces.</w:t>
      </w:r>
    </w:p>
    <w:p w:rsidR="009A66F9" w:rsidRPr="009A66F9" w:rsidRDefault="009A66F9" w:rsidP="009A66F9">
      <w:pPr>
        <w:pStyle w:val="ListParagraph"/>
        <w:rPr>
          <w:rFonts w:cs="Arial"/>
          <w:color w:val="1F497D"/>
          <w:sz w:val="22"/>
          <w:szCs w:val="22"/>
        </w:rPr>
      </w:pPr>
    </w:p>
    <w:p w:rsidR="009B2D21" w:rsidRDefault="009A66F9" w:rsidP="009A66F9">
      <w:pPr>
        <w:pStyle w:val="ListParagraph"/>
        <w:numPr>
          <w:ilvl w:val="0"/>
          <w:numId w:val="1"/>
        </w:numPr>
        <w:tabs>
          <w:tab w:val="clear" w:pos="1080"/>
          <w:tab w:val="num" w:pos="567"/>
        </w:tabs>
        <w:ind w:left="567" w:hanging="567"/>
        <w:rPr>
          <w:rFonts w:cs="Arial"/>
        </w:rPr>
      </w:pPr>
      <w:r w:rsidRPr="009A66F9">
        <w:rPr>
          <w:rFonts w:cs="Arial"/>
        </w:rPr>
        <w:t>During the Council year 2016/17 the Council created three wholly-owned companies which together formed its housing group of companies.  The Council year 2017/18 saw these three companies – Oxford City Housing Limited, Oxford City Housing (Investment) Limited and Oxford City Housing (Development) Limit</w:t>
      </w:r>
      <w:r w:rsidR="0011302F">
        <w:rPr>
          <w:rFonts w:cs="Arial"/>
        </w:rPr>
        <w:t xml:space="preserve">ed begin to consolidate  and </w:t>
      </w:r>
      <w:r w:rsidRPr="009A66F9">
        <w:rPr>
          <w:rFonts w:cs="Arial"/>
        </w:rPr>
        <w:t>move towards their objective of becoming a significant provider of housing within Oxford and elsewhere.  The principal operational activities of the companies during the year have been preparing to take and manage the social housing at the new Barton Park development, developing a series of small to medium Council-owned housing sites, and purchasing vacant H</w:t>
      </w:r>
      <w:r w:rsidR="009B2D21">
        <w:rPr>
          <w:rFonts w:cs="Arial"/>
        </w:rPr>
        <w:t xml:space="preserve">ousing </w:t>
      </w:r>
      <w:r w:rsidRPr="009A66F9">
        <w:rPr>
          <w:rFonts w:cs="Arial"/>
        </w:rPr>
        <w:t>R</w:t>
      </w:r>
      <w:r w:rsidR="009B2D21">
        <w:rPr>
          <w:rFonts w:cs="Arial"/>
        </w:rPr>
        <w:t xml:space="preserve">evenue </w:t>
      </w:r>
      <w:r w:rsidRPr="009A66F9">
        <w:rPr>
          <w:rFonts w:cs="Arial"/>
        </w:rPr>
        <w:t>A</w:t>
      </w:r>
      <w:r w:rsidR="009B2D21">
        <w:rPr>
          <w:rFonts w:cs="Arial"/>
        </w:rPr>
        <w:t>ccount</w:t>
      </w:r>
      <w:r w:rsidRPr="009A66F9">
        <w:rPr>
          <w:rFonts w:cs="Arial"/>
        </w:rPr>
        <w:t xml:space="preserve"> properties (within the permitted limits) to facilitate further housi</w:t>
      </w:r>
      <w:r w:rsidR="009B2D21">
        <w:rPr>
          <w:rFonts w:cs="Arial"/>
        </w:rPr>
        <w:t>ng development of these sites.</w:t>
      </w:r>
    </w:p>
    <w:p w:rsidR="009B2D21" w:rsidRPr="009B2D21" w:rsidRDefault="009B2D21" w:rsidP="009B2D21">
      <w:pPr>
        <w:pStyle w:val="ListParagraph"/>
        <w:rPr>
          <w:rFonts w:cs="Arial"/>
        </w:rPr>
      </w:pPr>
    </w:p>
    <w:p w:rsidR="009A66F9" w:rsidRPr="009A66F9" w:rsidRDefault="009A66F9" w:rsidP="009A66F9">
      <w:pPr>
        <w:pStyle w:val="ListParagraph"/>
        <w:numPr>
          <w:ilvl w:val="0"/>
          <w:numId w:val="1"/>
        </w:numPr>
        <w:tabs>
          <w:tab w:val="clear" w:pos="1080"/>
          <w:tab w:val="num" w:pos="567"/>
        </w:tabs>
        <w:ind w:left="567" w:hanging="567"/>
        <w:rPr>
          <w:rFonts w:cs="Arial"/>
        </w:rPr>
      </w:pPr>
      <w:r w:rsidRPr="009A66F9">
        <w:rPr>
          <w:rFonts w:cs="Arial"/>
        </w:rPr>
        <w:t xml:space="preserve">The companies hold Board meetings on a monthly </w:t>
      </w:r>
      <w:proofErr w:type="gramStart"/>
      <w:r w:rsidRPr="009A66F9">
        <w:rPr>
          <w:rFonts w:cs="Arial"/>
        </w:rPr>
        <w:t>basis,</w:t>
      </w:r>
      <w:proofErr w:type="gramEnd"/>
      <w:r w:rsidRPr="009A66F9">
        <w:rPr>
          <w:rFonts w:cs="Arial"/>
        </w:rPr>
        <w:t xml:space="preserve"> and throughout the year have been developing arrangements with the Council under which necessary staff resources can be made available to the companies u</w:t>
      </w:r>
      <w:r>
        <w:rPr>
          <w:rFonts w:cs="Arial"/>
        </w:rPr>
        <w:t>nder Service Level Agreements. </w:t>
      </w:r>
      <w:r w:rsidRPr="009A66F9">
        <w:rPr>
          <w:rFonts w:cs="Arial"/>
        </w:rPr>
        <w:t>These arrangements are expected to continue and develop.  The Council as the sole shareholder of the housing group of companies is represented by the share</w:t>
      </w:r>
      <w:r w:rsidR="009B2D21">
        <w:rPr>
          <w:rFonts w:cs="Arial"/>
        </w:rPr>
        <w:t>holder group, which comprises</w:t>
      </w:r>
      <w:r w:rsidRPr="009A66F9">
        <w:rPr>
          <w:rFonts w:cs="Arial"/>
        </w:rPr>
        <w:t xml:space="preserve"> members of Council, as determined by the Leader, and meets to consider the progress and development of the c</w:t>
      </w:r>
      <w:r>
        <w:rPr>
          <w:rFonts w:cs="Arial"/>
        </w:rPr>
        <w:t>ompanies on a quarterly basis. </w:t>
      </w:r>
      <w:r w:rsidRPr="009A66F9">
        <w:rPr>
          <w:rFonts w:cs="Arial"/>
        </w:rPr>
        <w:t xml:space="preserve">The Shareholder group appoints the directors of the companies, and under the Shareholder’s </w:t>
      </w:r>
      <w:r w:rsidRPr="009A66F9">
        <w:rPr>
          <w:rFonts w:cs="Arial"/>
        </w:rPr>
        <w:lastRenderedPageBreak/>
        <w:t xml:space="preserve">Agreement has reserved to it the right to determine key structural and operational matters. The activities of the Shareholder group are scrutinised by the Council’s </w:t>
      </w:r>
      <w:proofErr w:type="gramStart"/>
      <w:r w:rsidR="009B2D21">
        <w:rPr>
          <w:rFonts w:cs="Arial"/>
        </w:rPr>
        <w:t>companies</w:t>
      </w:r>
      <w:proofErr w:type="gramEnd"/>
      <w:r w:rsidR="009B2D21">
        <w:rPr>
          <w:rFonts w:cs="Arial"/>
        </w:rPr>
        <w:t xml:space="preserve"> </w:t>
      </w:r>
      <w:r w:rsidRPr="009A66F9">
        <w:rPr>
          <w:rFonts w:cs="Arial"/>
        </w:rPr>
        <w:t xml:space="preserve">scrutiny panel. </w:t>
      </w:r>
    </w:p>
    <w:p w:rsidR="009A66F9" w:rsidRPr="009A66F9" w:rsidRDefault="009A66F9" w:rsidP="009A66F9">
      <w:pPr>
        <w:pStyle w:val="ListParagraph"/>
        <w:ind w:left="1080"/>
        <w:rPr>
          <w:rFonts w:cs="Arial"/>
        </w:rPr>
      </w:pPr>
    </w:p>
    <w:p w:rsidR="009A66F9" w:rsidRDefault="009A66F9" w:rsidP="009A66F9">
      <w:pPr>
        <w:pStyle w:val="ListParagraph"/>
        <w:numPr>
          <w:ilvl w:val="0"/>
          <w:numId w:val="1"/>
        </w:numPr>
        <w:tabs>
          <w:tab w:val="clear" w:pos="1080"/>
          <w:tab w:val="num" w:pos="567"/>
        </w:tabs>
        <w:ind w:left="567" w:hanging="567"/>
        <w:rPr>
          <w:rFonts w:cs="Arial"/>
        </w:rPr>
      </w:pPr>
      <w:r w:rsidRPr="009A66F9">
        <w:rPr>
          <w:rFonts w:cs="Arial"/>
        </w:rPr>
        <w:t>In April 2017 the Council created two further wholly-owned companies, Oxford Direct Services Limited (“ODSL”) and Oxford Direct Servi</w:t>
      </w:r>
      <w:r>
        <w:rPr>
          <w:rFonts w:cs="Arial"/>
        </w:rPr>
        <w:t xml:space="preserve">ces Trading Limited (“ODSTL”). </w:t>
      </w:r>
      <w:r w:rsidRPr="009A66F9">
        <w:rPr>
          <w:rFonts w:cs="Arial"/>
        </w:rPr>
        <w:t>Throughout the Council year 2017/18 the Council was preparing for the transfer of its entire direct services operation to these two new companies.  Under these arrangements, commencing on 1</w:t>
      </w:r>
      <w:r w:rsidRPr="009A66F9">
        <w:rPr>
          <w:rFonts w:cs="Arial"/>
          <w:vertAlign w:val="superscript"/>
        </w:rPr>
        <w:t>st</w:t>
      </w:r>
      <w:r w:rsidRPr="009A66F9">
        <w:rPr>
          <w:rFonts w:cs="Arial"/>
        </w:rPr>
        <w:t xml:space="preserve"> April 2018, the Council would contract with ODSL in regard to the fulfilment </w:t>
      </w:r>
      <w:proofErr w:type="gramStart"/>
      <w:r w:rsidRPr="009A66F9">
        <w:rPr>
          <w:rFonts w:cs="Arial"/>
        </w:rPr>
        <w:t>of  all</w:t>
      </w:r>
      <w:proofErr w:type="gramEnd"/>
      <w:r w:rsidRPr="009A66F9">
        <w:rPr>
          <w:rFonts w:cs="Arial"/>
        </w:rPr>
        <w:t xml:space="preserve"> its statutory and related “direct services” activities, while ODSTL would trade exclusively with third parties on a wholly commercial basis. ODSL was created as a “</w:t>
      </w:r>
      <w:proofErr w:type="spellStart"/>
      <w:r w:rsidRPr="009A66F9">
        <w:rPr>
          <w:rFonts w:cs="Arial"/>
        </w:rPr>
        <w:t>Teckal</w:t>
      </w:r>
      <w:proofErr w:type="spellEnd"/>
      <w:r w:rsidRPr="009A66F9">
        <w:rPr>
          <w:rFonts w:cs="Arial"/>
        </w:rPr>
        <w:t>” company, which allowed the Council to enter into these arrangements outside the requirements of the public procurement regulations. As a companion to the significant long-term Service contract to be let by the Council to ODSL, a second support services agreement has been drafted, under which the Council would provide a wide range of support services to both ODSL and ODSTL.</w:t>
      </w:r>
    </w:p>
    <w:p w:rsidR="009A66F9" w:rsidRPr="009A66F9" w:rsidRDefault="009A66F9" w:rsidP="009A66F9">
      <w:pPr>
        <w:rPr>
          <w:rFonts w:cs="Arial"/>
        </w:rPr>
      </w:pPr>
    </w:p>
    <w:p w:rsidR="009A66F9" w:rsidRDefault="009A66F9" w:rsidP="009A66F9">
      <w:pPr>
        <w:pStyle w:val="ListParagraph"/>
        <w:numPr>
          <w:ilvl w:val="0"/>
          <w:numId w:val="1"/>
        </w:numPr>
        <w:tabs>
          <w:tab w:val="clear" w:pos="1080"/>
          <w:tab w:val="num" w:pos="567"/>
        </w:tabs>
        <w:ind w:left="567" w:hanging="567"/>
        <w:rPr>
          <w:rFonts w:cs="Arial"/>
        </w:rPr>
      </w:pPr>
      <w:r w:rsidRPr="009A66F9">
        <w:rPr>
          <w:rFonts w:cs="Arial"/>
        </w:rPr>
        <w:t>As with the housing group of companies, the Council; as sole shareholder of both ODSL and ODSTL is represented by the shareholder group, which holds meetings with the directors of the direct services companies to monitor and direct the companies’ activities on a quarterly basis. The Articles of Association of the companies set out their basic obj</w:t>
      </w:r>
      <w:r w:rsidR="009B2D21">
        <w:rPr>
          <w:rFonts w:cs="Arial"/>
        </w:rPr>
        <w:t>ects, while the two Shareholder’</w:t>
      </w:r>
      <w:r w:rsidRPr="009A66F9">
        <w:rPr>
          <w:rFonts w:cs="Arial"/>
        </w:rPr>
        <w:t>s Agreement</w:t>
      </w:r>
      <w:r w:rsidR="009B2D21">
        <w:rPr>
          <w:rFonts w:cs="Arial"/>
        </w:rPr>
        <w:t>s</w:t>
      </w:r>
      <w:r w:rsidRPr="009A66F9">
        <w:rPr>
          <w:rFonts w:cs="Arial"/>
        </w:rPr>
        <w:t xml:space="preserve"> set out the key matters which are reserved to the shareholder, including the approval of the business plan and the appoi</w:t>
      </w:r>
      <w:r>
        <w:rPr>
          <w:rFonts w:cs="Arial"/>
        </w:rPr>
        <w:t xml:space="preserve">ntment of Board directors. </w:t>
      </w:r>
      <w:r w:rsidRPr="009A66F9">
        <w:rPr>
          <w:rFonts w:cs="Arial"/>
        </w:rPr>
        <w:t xml:space="preserve">The activities of the Shareholder group </w:t>
      </w:r>
      <w:r w:rsidR="009B2D21">
        <w:rPr>
          <w:rFonts w:cs="Arial"/>
        </w:rPr>
        <w:t>are</w:t>
      </w:r>
      <w:r w:rsidRPr="009A66F9">
        <w:rPr>
          <w:rFonts w:cs="Arial"/>
        </w:rPr>
        <w:t xml:space="preserve"> scrut</w:t>
      </w:r>
      <w:r>
        <w:rPr>
          <w:rFonts w:cs="Arial"/>
        </w:rPr>
        <w:t xml:space="preserve">inised by the </w:t>
      </w:r>
      <w:proofErr w:type="gramStart"/>
      <w:r w:rsidR="009B2D21">
        <w:rPr>
          <w:rFonts w:cs="Arial"/>
        </w:rPr>
        <w:t>companies</w:t>
      </w:r>
      <w:proofErr w:type="gramEnd"/>
      <w:r w:rsidR="009B2D21">
        <w:rPr>
          <w:rFonts w:cs="Arial"/>
        </w:rPr>
        <w:t xml:space="preserve"> </w:t>
      </w:r>
      <w:r>
        <w:rPr>
          <w:rFonts w:cs="Arial"/>
        </w:rPr>
        <w:t xml:space="preserve">scrutiny panel.  </w:t>
      </w:r>
      <w:r w:rsidRPr="009A66F9">
        <w:rPr>
          <w:rFonts w:cs="Arial"/>
        </w:rPr>
        <w:t>The letting of the Service contract to ODSL on 1</w:t>
      </w:r>
      <w:r w:rsidRPr="009A66F9">
        <w:rPr>
          <w:rFonts w:cs="Arial"/>
          <w:vertAlign w:val="superscript"/>
        </w:rPr>
        <w:t>st</w:t>
      </w:r>
      <w:r w:rsidRPr="009A66F9">
        <w:rPr>
          <w:rFonts w:cs="Arial"/>
        </w:rPr>
        <w:t xml:space="preserve"> April 2018 will trigger the TUPE transfer of all Council staff engaged in the direct services operations (some </w:t>
      </w:r>
      <w:r>
        <w:rPr>
          <w:rFonts w:cs="Arial"/>
        </w:rPr>
        <w:t>670 members of staff) to ODSL. </w:t>
      </w:r>
      <w:r w:rsidRPr="009A66F9">
        <w:rPr>
          <w:rFonts w:cs="Arial"/>
        </w:rPr>
        <w:t xml:space="preserve"> </w:t>
      </w:r>
    </w:p>
    <w:p w:rsidR="00C53518" w:rsidRPr="00C53518" w:rsidRDefault="00C53518" w:rsidP="00C53518">
      <w:pPr>
        <w:pStyle w:val="ListParagraph"/>
        <w:rPr>
          <w:rFonts w:cs="Arial"/>
        </w:rPr>
      </w:pPr>
    </w:p>
    <w:p w:rsidR="00C53518" w:rsidRDefault="00C53518" w:rsidP="009A66F9">
      <w:pPr>
        <w:pStyle w:val="ListParagraph"/>
        <w:numPr>
          <w:ilvl w:val="0"/>
          <w:numId w:val="1"/>
        </w:numPr>
        <w:tabs>
          <w:tab w:val="clear" w:pos="1080"/>
          <w:tab w:val="num" w:pos="567"/>
        </w:tabs>
        <w:ind w:left="567" w:hanging="567"/>
        <w:rPr>
          <w:rFonts w:cs="Arial"/>
        </w:rPr>
      </w:pPr>
      <w:r>
        <w:rPr>
          <w:rFonts w:cs="Arial"/>
        </w:rPr>
        <w:t xml:space="preserve">A  major focus of during the year has been the preparation for the new General Data Protection Regulation (GDPR) </w:t>
      </w:r>
      <w:r w:rsidR="004C2CAF">
        <w:rPr>
          <w:rFonts w:cs="Arial"/>
        </w:rPr>
        <w:t>and the implementation of the Data Protection Act 2018 which received Royal Assent on 23</w:t>
      </w:r>
      <w:r w:rsidR="004C2CAF" w:rsidRPr="004C2CAF">
        <w:rPr>
          <w:rFonts w:cs="Arial"/>
          <w:vertAlign w:val="superscript"/>
        </w:rPr>
        <w:t>rd</w:t>
      </w:r>
      <w:r w:rsidR="004C2CAF">
        <w:rPr>
          <w:rFonts w:cs="Arial"/>
        </w:rPr>
        <w:t xml:space="preserve"> May 2018 with its main provisions coming into</w:t>
      </w:r>
      <w:r>
        <w:rPr>
          <w:rFonts w:cs="Arial"/>
        </w:rPr>
        <w:t xml:space="preserve"> force on </w:t>
      </w:r>
      <w:r w:rsidR="004C2CAF">
        <w:rPr>
          <w:rFonts w:cs="Arial"/>
        </w:rPr>
        <w:t>25</w:t>
      </w:r>
      <w:r w:rsidRPr="00C53518">
        <w:rPr>
          <w:rFonts w:cs="Arial"/>
          <w:vertAlign w:val="superscript"/>
        </w:rPr>
        <w:t>th</w:t>
      </w:r>
      <w:r>
        <w:rPr>
          <w:rFonts w:cs="Arial"/>
        </w:rPr>
        <w:t xml:space="preserve"> May 2018</w:t>
      </w:r>
      <w:r w:rsidR="004C2CAF">
        <w:rPr>
          <w:rFonts w:cs="Arial"/>
        </w:rPr>
        <w:t>.</w:t>
      </w:r>
      <w:r>
        <w:rPr>
          <w:rFonts w:cs="Arial"/>
        </w:rPr>
        <w:t>.</w:t>
      </w:r>
      <w:r w:rsidR="004C2CAF">
        <w:rPr>
          <w:rFonts w:cs="Arial"/>
        </w:rPr>
        <w:t>A</w:t>
      </w:r>
      <w:r>
        <w:rPr>
          <w:rFonts w:cs="Arial"/>
        </w:rPr>
        <w:t xml:space="preserve"> programme of works commenced during 2017/18 to ensure any significant gaps </w:t>
      </w:r>
      <w:r w:rsidR="004C2CAF">
        <w:rPr>
          <w:rFonts w:cs="Arial"/>
        </w:rPr>
        <w:t xml:space="preserve">in terms of compliance with </w:t>
      </w:r>
      <w:r w:rsidR="00714F7B">
        <w:rPr>
          <w:rFonts w:cs="Arial"/>
        </w:rPr>
        <w:t xml:space="preserve">GDPR </w:t>
      </w:r>
      <w:r>
        <w:rPr>
          <w:rFonts w:cs="Arial"/>
        </w:rPr>
        <w:t>were fully addressed, including:</w:t>
      </w:r>
    </w:p>
    <w:p w:rsidR="00C53518" w:rsidRPr="00C53518" w:rsidRDefault="00C53518" w:rsidP="00C53518">
      <w:pPr>
        <w:pStyle w:val="ListParagraph"/>
        <w:rPr>
          <w:rFonts w:cs="Arial"/>
        </w:rPr>
      </w:pPr>
    </w:p>
    <w:p w:rsidR="00C53518" w:rsidRPr="009E406E" w:rsidRDefault="00C53518" w:rsidP="009E406E">
      <w:pPr>
        <w:pStyle w:val="ListParagraph"/>
        <w:numPr>
          <w:ilvl w:val="0"/>
          <w:numId w:val="29"/>
        </w:numPr>
        <w:tabs>
          <w:tab w:val="num" w:pos="1418"/>
        </w:tabs>
        <w:ind w:left="1418" w:hanging="567"/>
        <w:rPr>
          <w:rFonts w:cs="Arial"/>
        </w:rPr>
      </w:pPr>
      <w:r w:rsidRPr="009E406E">
        <w:rPr>
          <w:rFonts w:cs="Arial"/>
        </w:rPr>
        <w:t>Information asset registers and record retention schedules have been developed identifying the data held by teams, how long this data needs to be held for and outlining the procedures for disposing of data records;</w:t>
      </w:r>
    </w:p>
    <w:p w:rsidR="00C53518" w:rsidRPr="009E406E" w:rsidRDefault="009E406E" w:rsidP="009E406E">
      <w:pPr>
        <w:pStyle w:val="ListParagraph"/>
        <w:numPr>
          <w:ilvl w:val="0"/>
          <w:numId w:val="29"/>
        </w:numPr>
        <w:tabs>
          <w:tab w:val="num" w:pos="1418"/>
        </w:tabs>
        <w:ind w:left="1418" w:hanging="567"/>
        <w:rPr>
          <w:rFonts w:cs="Arial"/>
        </w:rPr>
      </w:pPr>
      <w:r>
        <w:rPr>
          <w:rFonts w:cs="Arial"/>
        </w:rPr>
        <w:t>Pri</w:t>
      </w:r>
      <w:r w:rsidR="00C53518" w:rsidRPr="009E406E">
        <w:rPr>
          <w:rFonts w:cs="Arial"/>
        </w:rPr>
        <w:t>vacy Notices and Terms and Conditi</w:t>
      </w:r>
      <w:r>
        <w:rPr>
          <w:rFonts w:cs="Arial"/>
        </w:rPr>
        <w:t>o</w:t>
      </w:r>
      <w:r w:rsidR="00C53518" w:rsidRPr="009E406E">
        <w:rPr>
          <w:rFonts w:cs="Arial"/>
        </w:rPr>
        <w:t>ns have been updated;</w:t>
      </w:r>
    </w:p>
    <w:p w:rsidR="00C53518" w:rsidRPr="009E406E" w:rsidRDefault="00C53518" w:rsidP="009E406E">
      <w:pPr>
        <w:pStyle w:val="ListParagraph"/>
        <w:numPr>
          <w:ilvl w:val="0"/>
          <w:numId w:val="29"/>
        </w:numPr>
        <w:tabs>
          <w:tab w:val="num" w:pos="1418"/>
        </w:tabs>
        <w:ind w:left="1418" w:hanging="567"/>
        <w:rPr>
          <w:rFonts w:cs="Arial"/>
        </w:rPr>
      </w:pPr>
      <w:r w:rsidRPr="009E406E">
        <w:rPr>
          <w:rFonts w:cs="Arial"/>
        </w:rPr>
        <w:t xml:space="preserve">Training sessions have been held for all staff and members and included in the induction process; and </w:t>
      </w:r>
    </w:p>
    <w:p w:rsidR="00C53518" w:rsidRPr="009E406E" w:rsidRDefault="00C53518" w:rsidP="009E406E">
      <w:pPr>
        <w:pStyle w:val="ListParagraph"/>
        <w:numPr>
          <w:ilvl w:val="0"/>
          <w:numId w:val="29"/>
        </w:numPr>
        <w:tabs>
          <w:tab w:val="num" w:pos="1418"/>
        </w:tabs>
        <w:ind w:left="1418" w:hanging="567"/>
        <w:rPr>
          <w:rFonts w:cs="Arial"/>
        </w:rPr>
      </w:pPr>
      <w:r w:rsidRPr="009E406E">
        <w:rPr>
          <w:rFonts w:cs="Arial"/>
        </w:rPr>
        <w:t>Engagement with suppliers to update terms and produce a risk assessment of the activities the carry out on the Council’s behalf.</w:t>
      </w:r>
    </w:p>
    <w:p w:rsidR="009A66F9" w:rsidRPr="009A66F9" w:rsidRDefault="009A66F9" w:rsidP="009A66F9">
      <w:pPr>
        <w:rPr>
          <w:rFonts w:cs="Arial"/>
          <w:color w:val="1F497D"/>
          <w:sz w:val="22"/>
          <w:szCs w:val="22"/>
        </w:rPr>
      </w:pPr>
    </w:p>
    <w:p w:rsidR="006B17B1" w:rsidRPr="009B37A3" w:rsidRDefault="006B17B1" w:rsidP="005344D8">
      <w:pPr>
        <w:numPr>
          <w:ilvl w:val="0"/>
          <w:numId w:val="1"/>
        </w:numPr>
        <w:tabs>
          <w:tab w:val="num" w:pos="567"/>
        </w:tabs>
        <w:ind w:left="567" w:hanging="567"/>
      </w:pPr>
      <w:r w:rsidRPr="009B37A3">
        <w:t>In the last year the Council:</w:t>
      </w:r>
    </w:p>
    <w:p w:rsidR="006B17B1" w:rsidRPr="009B37A3" w:rsidRDefault="006B17B1" w:rsidP="006B17B1"/>
    <w:p w:rsidR="00DF1B40" w:rsidRPr="009B37A3" w:rsidRDefault="00D979AF" w:rsidP="00B55031">
      <w:pPr>
        <w:pStyle w:val="ListParagraph"/>
        <w:numPr>
          <w:ilvl w:val="0"/>
          <w:numId w:val="7"/>
        </w:numPr>
        <w:ind w:firstLine="131"/>
      </w:pPr>
      <w:r>
        <w:lastRenderedPageBreak/>
        <w:t>I</w:t>
      </w:r>
      <w:r w:rsidR="00DF1B40" w:rsidRPr="009B37A3">
        <w:t>ntroduced a blue bin recycling league</w:t>
      </w:r>
      <w:r w:rsidR="009B2D21">
        <w:t>;</w:t>
      </w:r>
    </w:p>
    <w:p w:rsidR="007A1860" w:rsidRDefault="007A1860" w:rsidP="007A1860">
      <w:pPr>
        <w:numPr>
          <w:ilvl w:val="0"/>
          <w:numId w:val="7"/>
        </w:numPr>
        <w:ind w:firstLine="131"/>
        <w:rPr>
          <w:rFonts w:cs="Arial"/>
        </w:rPr>
      </w:pPr>
      <w:r>
        <w:rPr>
          <w:rFonts w:cs="Arial"/>
        </w:rPr>
        <w:t>Upgrade</w:t>
      </w:r>
      <w:r w:rsidR="000A36FC">
        <w:rPr>
          <w:rFonts w:cs="Arial"/>
        </w:rPr>
        <w:t>d</w:t>
      </w:r>
      <w:r>
        <w:rPr>
          <w:rFonts w:cs="Arial"/>
        </w:rPr>
        <w:t xml:space="preserve"> the </w:t>
      </w:r>
      <w:proofErr w:type="spellStart"/>
      <w:r>
        <w:rPr>
          <w:rFonts w:cs="Arial"/>
        </w:rPr>
        <w:t>Agresso</w:t>
      </w:r>
      <w:proofErr w:type="spellEnd"/>
      <w:r>
        <w:rPr>
          <w:rFonts w:cs="Arial"/>
        </w:rPr>
        <w:t xml:space="preserve"> Financial Management System</w:t>
      </w:r>
      <w:r w:rsidR="009B2D21">
        <w:rPr>
          <w:rFonts w:cs="Arial"/>
        </w:rPr>
        <w:t>;</w:t>
      </w:r>
    </w:p>
    <w:p w:rsidR="007A1860" w:rsidRDefault="007A1860" w:rsidP="007A1860">
      <w:pPr>
        <w:numPr>
          <w:ilvl w:val="0"/>
          <w:numId w:val="7"/>
        </w:numPr>
        <w:ind w:left="1418" w:hanging="567"/>
        <w:rPr>
          <w:rFonts w:cs="Arial"/>
        </w:rPr>
      </w:pPr>
      <w:r>
        <w:rPr>
          <w:rFonts w:cs="Arial"/>
        </w:rPr>
        <w:t>Set up accounting controls for the Council’s Local Authority Trading Company and the Housing Company</w:t>
      </w:r>
      <w:r w:rsidR="009B2D21">
        <w:rPr>
          <w:rFonts w:cs="Arial"/>
        </w:rPr>
        <w:t>;</w:t>
      </w:r>
    </w:p>
    <w:p w:rsidR="007A1860" w:rsidRDefault="007A1860" w:rsidP="007A1860">
      <w:pPr>
        <w:numPr>
          <w:ilvl w:val="0"/>
          <w:numId w:val="7"/>
        </w:numPr>
        <w:ind w:firstLine="131"/>
        <w:rPr>
          <w:rFonts w:cs="Arial"/>
        </w:rPr>
      </w:pPr>
      <w:r>
        <w:rPr>
          <w:rFonts w:cs="Arial"/>
        </w:rPr>
        <w:t>Implemented the Universal Credit roll out</w:t>
      </w:r>
      <w:r w:rsidR="009B2D21">
        <w:rPr>
          <w:rFonts w:cs="Arial"/>
        </w:rPr>
        <w:t>;</w:t>
      </w:r>
    </w:p>
    <w:p w:rsidR="007A1860" w:rsidRDefault="007A1860" w:rsidP="007A1860">
      <w:pPr>
        <w:numPr>
          <w:ilvl w:val="0"/>
          <w:numId w:val="7"/>
        </w:numPr>
        <w:ind w:firstLine="131"/>
        <w:rPr>
          <w:rFonts w:cs="Arial"/>
        </w:rPr>
      </w:pPr>
      <w:r>
        <w:rPr>
          <w:rFonts w:cs="Arial"/>
        </w:rPr>
        <w:t>I</w:t>
      </w:r>
      <w:r w:rsidR="009B2D21">
        <w:rPr>
          <w:rFonts w:cs="Arial"/>
        </w:rPr>
        <w:t>mplemented the “All pay” system;</w:t>
      </w:r>
    </w:p>
    <w:p w:rsidR="007A1860" w:rsidRPr="00D979AF" w:rsidRDefault="007A1860" w:rsidP="00D979AF">
      <w:pPr>
        <w:numPr>
          <w:ilvl w:val="0"/>
          <w:numId w:val="7"/>
        </w:numPr>
        <w:ind w:left="1418" w:hanging="567"/>
        <w:rPr>
          <w:rFonts w:cs="Arial"/>
        </w:rPr>
      </w:pPr>
      <w:r w:rsidRPr="00D979AF">
        <w:rPr>
          <w:rFonts w:cs="Arial"/>
        </w:rPr>
        <w:t>Introduced “Connect and serve” e billing</w:t>
      </w:r>
      <w:r w:rsidR="009B2D21">
        <w:rPr>
          <w:rFonts w:cs="Arial"/>
        </w:rPr>
        <w:t>;</w:t>
      </w:r>
    </w:p>
    <w:p w:rsidR="00D979AF" w:rsidRPr="00D979AF" w:rsidRDefault="00D979AF" w:rsidP="00D979AF">
      <w:pPr>
        <w:pStyle w:val="Default"/>
        <w:numPr>
          <w:ilvl w:val="0"/>
          <w:numId w:val="7"/>
        </w:numPr>
        <w:ind w:left="1418" w:hanging="567"/>
      </w:pPr>
      <w:r w:rsidRPr="00D979AF">
        <w:t xml:space="preserve">Introduced a new </w:t>
      </w:r>
      <w:r w:rsidR="000A36FC">
        <w:t>“</w:t>
      </w:r>
      <w:r w:rsidRPr="00D979AF">
        <w:t>Contact Us</w:t>
      </w:r>
      <w:r w:rsidR="000A36FC">
        <w:t>”</w:t>
      </w:r>
      <w:r w:rsidRPr="00D979AF">
        <w:t xml:space="preserve"> page, which includes  “webchat” deployment on the website</w:t>
      </w:r>
      <w:r w:rsidR="009B2D21">
        <w:t>;</w:t>
      </w:r>
    </w:p>
    <w:p w:rsidR="000A36FC" w:rsidRDefault="000A36FC" w:rsidP="000C67E3">
      <w:pPr>
        <w:pStyle w:val="Default"/>
        <w:numPr>
          <w:ilvl w:val="0"/>
          <w:numId w:val="7"/>
        </w:numPr>
        <w:ind w:left="1418" w:hanging="567"/>
      </w:pPr>
      <w:r>
        <w:t xml:space="preserve">Upgraded </w:t>
      </w:r>
      <w:r w:rsidR="000C67E3">
        <w:t xml:space="preserve">some sports pavilions, East Oxford Community Centre, Barton Neighbourhood Centre, </w:t>
      </w:r>
      <w:proofErr w:type="spellStart"/>
      <w:r w:rsidR="000C67E3">
        <w:t>Horspath</w:t>
      </w:r>
      <w:proofErr w:type="spellEnd"/>
      <w:r w:rsidR="000C67E3">
        <w:t xml:space="preserve"> Sports Ground, </w:t>
      </w:r>
      <w:proofErr w:type="spellStart"/>
      <w:r w:rsidR="000C67E3">
        <w:t>Bullingdon</w:t>
      </w:r>
      <w:proofErr w:type="spellEnd"/>
      <w:r w:rsidR="000C67E3">
        <w:t xml:space="preserve"> Community Centre, the Museum of Oxford and Florence Park tennis courts</w:t>
      </w:r>
      <w:r w:rsidR="009B2D21">
        <w:t>; and</w:t>
      </w:r>
    </w:p>
    <w:p w:rsidR="009B2D21" w:rsidRPr="00D979AF" w:rsidRDefault="009B2D21" w:rsidP="000C67E3">
      <w:pPr>
        <w:pStyle w:val="Default"/>
        <w:numPr>
          <w:ilvl w:val="0"/>
          <w:numId w:val="7"/>
        </w:numPr>
        <w:ind w:left="1418" w:hanging="567"/>
      </w:pPr>
      <w:r>
        <w:t>Continued to upgrade its IT infrastructure</w:t>
      </w:r>
    </w:p>
    <w:p w:rsidR="00B55031" w:rsidRPr="009B37A3" w:rsidRDefault="00B55031" w:rsidP="00B55031">
      <w:pPr>
        <w:ind w:left="491"/>
      </w:pPr>
    </w:p>
    <w:p w:rsidR="006B17B1" w:rsidRPr="009B37A3" w:rsidRDefault="009F77FE" w:rsidP="009B37A3">
      <w:pPr>
        <w:pStyle w:val="ListParagraph"/>
        <w:numPr>
          <w:ilvl w:val="0"/>
          <w:numId w:val="1"/>
        </w:numPr>
        <w:shd w:val="clear" w:color="auto" w:fill="FFFFFF" w:themeFill="background1"/>
        <w:tabs>
          <w:tab w:val="clear" w:pos="1080"/>
          <w:tab w:val="num" w:pos="567"/>
        </w:tabs>
        <w:ind w:left="567" w:hanging="567"/>
      </w:pPr>
      <w:r w:rsidRPr="009B37A3">
        <w:t xml:space="preserve">The Council’s constitution is reviewed annually to take account of changes to </w:t>
      </w:r>
      <w:r w:rsidR="00714F7B">
        <w:t>legislation</w:t>
      </w:r>
      <w:r w:rsidRPr="009B37A3">
        <w:t xml:space="preserve"> and other developments</w:t>
      </w:r>
      <w:r w:rsidR="005A6D13" w:rsidRPr="009B37A3">
        <w:t xml:space="preserve">. </w:t>
      </w:r>
      <w:r w:rsidRPr="009B37A3">
        <w:t>It sets out clear schemes of delegation for Council and executive functions stipulating which decisions must be taken by full Council, the City Executive Board, regulatory committees and officers.</w:t>
      </w:r>
      <w:r w:rsidR="005A6D13" w:rsidRPr="009B37A3">
        <w:t xml:space="preserve"> </w:t>
      </w:r>
      <w:r w:rsidRPr="009B37A3">
        <w:t>The constitution also provides clear opportunities for public and member engagement in Council decision making and policy</w:t>
      </w:r>
      <w:r w:rsidR="005A6D13" w:rsidRPr="009B37A3">
        <w:t xml:space="preserve"> for</w:t>
      </w:r>
      <w:r w:rsidRPr="009B37A3">
        <w:t>mulation.</w:t>
      </w:r>
    </w:p>
    <w:p w:rsidR="006B17B1" w:rsidRPr="009B37A3" w:rsidRDefault="006B17B1" w:rsidP="005344D8">
      <w:pPr>
        <w:tabs>
          <w:tab w:val="num" w:pos="567"/>
        </w:tabs>
        <w:ind w:left="567" w:hanging="567"/>
      </w:pPr>
    </w:p>
    <w:p w:rsidR="006B17B1" w:rsidRPr="009B37A3" w:rsidRDefault="006B17B1" w:rsidP="00583CB6">
      <w:pPr>
        <w:numPr>
          <w:ilvl w:val="0"/>
          <w:numId w:val="1"/>
        </w:numPr>
        <w:tabs>
          <w:tab w:val="num" w:pos="567"/>
        </w:tabs>
        <w:ind w:left="567" w:hanging="567"/>
      </w:pPr>
      <w:r w:rsidRPr="009B37A3">
        <w:t>The Council has adopted a Code of Conduct for Officers and local member protocols in relation to Member/Officer relations, planning and the use of IT. The Council</w:t>
      </w:r>
      <w:r w:rsidR="005571E9" w:rsidRPr="009B37A3">
        <w:t xml:space="preserve"> also adopted</w:t>
      </w:r>
      <w:r w:rsidRPr="009B37A3">
        <w:t xml:space="preserve"> </w:t>
      </w:r>
      <w:r w:rsidR="005571E9" w:rsidRPr="009B37A3">
        <w:t>a</w:t>
      </w:r>
      <w:r w:rsidRPr="009B37A3">
        <w:t xml:space="preserve"> Code of Conduct for Members (in cooperation with all of the Oxfordshire Authorities) and local </w:t>
      </w:r>
      <w:r w:rsidR="007D260B">
        <w:t xml:space="preserve">complaint handling arrangements. </w:t>
      </w:r>
      <w:r w:rsidRPr="009B37A3">
        <w:t xml:space="preserve">The Council has retained a Standards Committee and appointed </w:t>
      </w:r>
      <w:r w:rsidR="005A6D13" w:rsidRPr="009B37A3">
        <w:t xml:space="preserve">four </w:t>
      </w:r>
      <w:r w:rsidRPr="009B37A3">
        <w:t xml:space="preserve">Independent Persons to advise the Monitoring Officer and Standards Committee in relation to complaints of breaches of the Code of Conduct for Members. </w:t>
      </w:r>
    </w:p>
    <w:p w:rsidR="009F77FE" w:rsidRPr="009B37A3" w:rsidRDefault="009F77FE" w:rsidP="009F77FE">
      <w:pPr>
        <w:pStyle w:val="ListParagraph"/>
      </w:pPr>
    </w:p>
    <w:p w:rsidR="009F77FE" w:rsidRPr="009B37A3" w:rsidRDefault="009F77FE" w:rsidP="005A6D13">
      <w:pPr>
        <w:pStyle w:val="ListParagraph"/>
        <w:numPr>
          <w:ilvl w:val="0"/>
          <w:numId w:val="1"/>
        </w:numPr>
        <w:tabs>
          <w:tab w:val="clear" w:pos="1080"/>
          <w:tab w:val="num" w:pos="567"/>
        </w:tabs>
        <w:ind w:left="567" w:hanging="567"/>
      </w:pPr>
      <w:r w:rsidRPr="009B37A3">
        <w:t>The Council has a comprehensive induction and training process in place for elected members based on an established framework</w:t>
      </w:r>
      <w:r w:rsidR="00CA5735" w:rsidRPr="009B37A3">
        <w:t xml:space="preserve">. </w:t>
      </w:r>
      <w:r w:rsidRPr="009B37A3">
        <w:t xml:space="preserve">Feedback from members is collected and analysed to inform the content and delivery of training members are offered.  </w:t>
      </w:r>
    </w:p>
    <w:p w:rsidR="009F77FE" w:rsidRPr="009B37A3" w:rsidRDefault="009F77FE" w:rsidP="005A6D13">
      <w:pPr>
        <w:tabs>
          <w:tab w:val="num" w:pos="567"/>
        </w:tabs>
      </w:pPr>
    </w:p>
    <w:p w:rsidR="009F77FE" w:rsidRPr="009B37A3" w:rsidRDefault="009F77FE" w:rsidP="005A6D13">
      <w:pPr>
        <w:pStyle w:val="ListParagraph"/>
        <w:numPr>
          <w:ilvl w:val="0"/>
          <w:numId w:val="1"/>
        </w:numPr>
        <w:tabs>
          <w:tab w:val="clear" w:pos="1080"/>
          <w:tab w:val="num" w:pos="567"/>
        </w:tabs>
        <w:ind w:left="567" w:hanging="567"/>
      </w:pPr>
      <w:r w:rsidRPr="009B37A3">
        <w:t>All newly elected members are required to attend an induction session that includes training on the Members’ Code of Conduct and the signing of their declaration of acceptance of office.</w:t>
      </w:r>
      <w:r w:rsidR="005A6D13" w:rsidRPr="009B37A3">
        <w:t xml:space="preserve"> </w:t>
      </w:r>
    </w:p>
    <w:p w:rsidR="009F77FE" w:rsidRPr="009B37A3" w:rsidRDefault="009F77FE" w:rsidP="005A6D13">
      <w:pPr>
        <w:tabs>
          <w:tab w:val="num" w:pos="567"/>
        </w:tabs>
      </w:pPr>
    </w:p>
    <w:p w:rsidR="009F77FE" w:rsidRPr="009B37A3" w:rsidRDefault="009F77FE" w:rsidP="005A6D13">
      <w:pPr>
        <w:pStyle w:val="ListParagraph"/>
        <w:numPr>
          <w:ilvl w:val="0"/>
          <w:numId w:val="1"/>
        </w:numPr>
        <w:tabs>
          <w:tab w:val="clear" w:pos="1080"/>
          <w:tab w:val="num" w:pos="567"/>
        </w:tabs>
        <w:ind w:left="567" w:hanging="567"/>
      </w:pPr>
      <w:r w:rsidRPr="009B37A3">
        <w:t>An annual programme of compulsory and optional training is offered to all members</w:t>
      </w:r>
      <w:r w:rsidR="005A6D13" w:rsidRPr="009B37A3">
        <w:t xml:space="preserve">. </w:t>
      </w:r>
      <w:r w:rsidRPr="009B37A3">
        <w:t xml:space="preserve">Compulsory training is provided annually </w:t>
      </w:r>
      <w:r w:rsidR="009B2D21">
        <w:t xml:space="preserve">to all members </w:t>
      </w:r>
      <w:r w:rsidRPr="009B37A3">
        <w:t>on the Code of Conduct, planning, and for members on licensing committees;</w:t>
      </w:r>
      <w:r w:rsidR="00CA5735" w:rsidRPr="009B37A3">
        <w:t xml:space="preserve"> licensing. </w:t>
      </w:r>
      <w:r w:rsidRPr="009B37A3">
        <w:t xml:space="preserve">More advanced compulsory sessions are delivered in non-election years which are aimed at further developing </w:t>
      </w:r>
      <w:r w:rsidR="005A6D13" w:rsidRPr="009B37A3">
        <w:t xml:space="preserve">members’ knowledge and skills. </w:t>
      </w:r>
      <w:r w:rsidRPr="009B37A3">
        <w:t>Compulsory training is complemented by a programme of optional training which is designed to be more specific to the speci</w:t>
      </w:r>
      <w:r w:rsidR="005A6D13" w:rsidRPr="009B37A3">
        <w:t xml:space="preserve">alist roles members undertake. </w:t>
      </w:r>
    </w:p>
    <w:p w:rsidR="009F77FE" w:rsidRPr="009B37A3" w:rsidRDefault="009F77FE" w:rsidP="005A6D13">
      <w:pPr>
        <w:tabs>
          <w:tab w:val="num" w:pos="567"/>
        </w:tabs>
      </w:pPr>
    </w:p>
    <w:p w:rsidR="009F77FE" w:rsidRPr="009B37A3" w:rsidRDefault="009F77FE" w:rsidP="005A6D13">
      <w:pPr>
        <w:pStyle w:val="ListParagraph"/>
        <w:numPr>
          <w:ilvl w:val="0"/>
          <w:numId w:val="1"/>
        </w:numPr>
        <w:tabs>
          <w:tab w:val="clear" w:pos="1080"/>
          <w:tab w:val="num" w:pos="567"/>
        </w:tabs>
        <w:ind w:left="567" w:hanging="567"/>
      </w:pPr>
      <w:r w:rsidRPr="009B37A3">
        <w:lastRenderedPageBreak/>
        <w:t>Council has collectively agreed that any members who fail to attend compulsory induction or training sessions will have a reduction applied to their allowance.</w:t>
      </w:r>
    </w:p>
    <w:p w:rsidR="009F77FE" w:rsidRPr="009B37A3" w:rsidRDefault="009F77FE" w:rsidP="005A6D13">
      <w:pPr>
        <w:ind w:left="720"/>
      </w:pPr>
    </w:p>
    <w:p w:rsidR="009F77FE" w:rsidRPr="009B37A3" w:rsidRDefault="009F77FE" w:rsidP="005A6D13">
      <w:pPr>
        <w:pStyle w:val="ListParagraph"/>
        <w:numPr>
          <w:ilvl w:val="0"/>
          <w:numId w:val="1"/>
        </w:numPr>
        <w:tabs>
          <w:tab w:val="clear" w:pos="1080"/>
          <w:tab w:val="num" w:pos="567"/>
        </w:tabs>
        <w:ind w:left="567" w:hanging="567"/>
      </w:pPr>
      <w:r w:rsidRPr="009B37A3">
        <w:t>Council officers are also encouraged to access internal training courses as well as specific professional development</w:t>
      </w:r>
      <w:r w:rsidR="005A6D13" w:rsidRPr="009B37A3">
        <w:t xml:space="preserve">. </w:t>
      </w:r>
      <w:r w:rsidRPr="009B37A3">
        <w:t>All new starters are required to understand key policies on data protection, code of conduct and ICT security, as well as to undertake safeguarding awareness training as a minimum</w:t>
      </w:r>
      <w:r w:rsidR="00A41D95">
        <w:t>. Appraisals are conducted in relation to the performance of each memb</w:t>
      </w:r>
      <w:r w:rsidR="00714F7B">
        <w:t>er of staff on an annual basis.</w:t>
      </w:r>
    </w:p>
    <w:p w:rsidR="009F77FE" w:rsidRPr="009B37A3" w:rsidRDefault="009F77FE" w:rsidP="005A6D13">
      <w:pPr>
        <w:tabs>
          <w:tab w:val="num" w:pos="567"/>
        </w:tabs>
      </w:pPr>
    </w:p>
    <w:p w:rsidR="009F77FE" w:rsidRPr="009B37A3" w:rsidRDefault="009F77FE" w:rsidP="009B37A3">
      <w:pPr>
        <w:pStyle w:val="ListParagraph"/>
        <w:numPr>
          <w:ilvl w:val="0"/>
          <w:numId w:val="1"/>
        </w:numPr>
        <w:shd w:val="clear" w:color="auto" w:fill="FFFFFF" w:themeFill="background1"/>
        <w:tabs>
          <w:tab w:val="clear" w:pos="1080"/>
          <w:tab w:val="num" w:pos="567"/>
        </w:tabs>
        <w:ind w:left="567" w:hanging="567"/>
      </w:pPr>
      <w:r w:rsidRPr="009B37A3">
        <w:t>All decision reports presented to members are subject to a robust clearance procedure to ensure that the legal, financial and other risks and implications of proposals are identi</w:t>
      </w:r>
      <w:r w:rsidR="005A6D13" w:rsidRPr="009B37A3">
        <w:t xml:space="preserve">fied and properly articulated. </w:t>
      </w:r>
      <w:r w:rsidRPr="009B37A3">
        <w:t>All decision reports to the City Executive Board are accompanied by a risk register and, where equalities impacts are identified, an equality impact assessment.</w:t>
      </w:r>
      <w:r w:rsidR="005A6D13" w:rsidRPr="009B37A3">
        <w:t xml:space="preserve"> </w:t>
      </w:r>
    </w:p>
    <w:p w:rsidR="009F77FE" w:rsidRPr="009B37A3" w:rsidRDefault="009F77FE" w:rsidP="005A6D13">
      <w:pPr>
        <w:tabs>
          <w:tab w:val="num" w:pos="567"/>
        </w:tabs>
      </w:pPr>
    </w:p>
    <w:p w:rsidR="009F77FE" w:rsidRPr="009B37A3" w:rsidRDefault="009F77FE" w:rsidP="005A6D13">
      <w:pPr>
        <w:pStyle w:val="ListParagraph"/>
        <w:numPr>
          <w:ilvl w:val="0"/>
          <w:numId w:val="1"/>
        </w:numPr>
        <w:tabs>
          <w:tab w:val="clear" w:pos="1080"/>
          <w:tab w:val="num" w:pos="567"/>
        </w:tabs>
        <w:ind w:left="567" w:hanging="567"/>
      </w:pPr>
      <w:r w:rsidRPr="009B37A3">
        <w:t xml:space="preserve">The Council has a mature Scrutiny function which benefits from the positive engagement of members, dedicated officer resource and a supportive </w:t>
      </w:r>
      <w:r w:rsidR="005A6D13" w:rsidRPr="009B37A3">
        <w:t xml:space="preserve">organisational culture. </w:t>
      </w:r>
      <w:r w:rsidRPr="009B37A3">
        <w:t>Each year the Scrutiny Committee develops and follows an annual work programme which remains flexible and responsive to emerging issues and decisions throughout the year. In this and other respects, the Scrutiny function is aligned with recognised best practice promoted by bodies such as t</w:t>
      </w:r>
      <w:r w:rsidR="005A6D13" w:rsidRPr="009B37A3">
        <w:t xml:space="preserve">he Centre for Public Scrutiny. </w:t>
      </w:r>
      <w:r w:rsidRPr="009B37A3">
        <w:t>Scrutiny has an active role both in scrutinising decisions before they are taken by the City Executive Board and in considering and reviewing priority topics and issues that affect the city and its people</w:t>
      </w:r>
      <w:r w:rsidR="005A6D13" w:rsidRPr="009B37A3">
        <w:t xml:space="preserve">. </w:t>
      </w:r>
      <w:r w:rsidR="00A41D95">
        <w:t>I</w:t>
      </w:r>
      <w:r w:rsidRPr="009B37A3">
        <w:t>n-depth review topics</w:t>
      </w:r>
      <w:r w:rsidR="00A41D95">
        <w:t xml:space="preserve"> have</w:t>
      </w:r>
      <w:r w:rsidRPr="009B37A3">
        <w:t xml:space="preserve"> include</w:t>
      </w:r>
      <w:r w:rsidR="00A41D95">
        <w:t>d</w:t>
      </w:r>
      <w:r w:rsidRPr="009B37A3">
        <w:t xml:space="preserve"> devolution</w:t>
      </w:r>
      <w:r w:rsidR="00A41D95">
        <w:t xml:space="preserve"> options</w:t>
      </w:r>
      <w:r w:rsidRPr="009B37A3">
        <w:t xml:space="preserve"> for Oxfordshire and the Oxford Living Wage, as well as annual reviews of the Council’s budget and medium term financial plan</w:t>
      </w:r>
      <w:r w:rsidR="005A6D13" w:rsidRPr="009B37A3">
        <w:t xml:space="preserve">. </w:t>
      </w:r>
    </w:p>
    <w:p w:rsidR="009F77FE" w:rsidRPr="009B37A3" w:rsidRDefault="009F77FE" w:rsidP="005A6D13">
      <w:pPr>
        <w:tabs>
          <w:tab w:val="num" w:pos="567"/>
        </w:tabs>
      </w:pPr>
    </w:p>
    <w:p w:rsidR="00757AFC" w:rsidRPr="009B37A3" w:rsidRDefault="009F77FE" w:rsidP="00757AFC">
      <w:pPr>
        <w:pStyle w:val="ListParagraph"/>
        <w:numPr>
          <w:ilvl w:val="0"/>
          <w:numId w:val="1"/>
        </w:numPr>
        <w:tabs>
          <w:tab w:val="clear" w:pos="1080"/>
          <w:tab w:val="num" w:pos="567"/>
        </w:tabs>
        <w:ind w:left="567" w:hanging="567"/>
      </w:pPr>
      <w:r w:rsidRPr="009B37A3">
        <w:t xml:space="preserve">The Council has an established Audit and Governance Committee with terms of reference that comply with </w:t>
      </w:r>
      <w:r w:rsidR="009A2FEB">
        <w:t>the Chartered Institute of Public Finance and Accountancy (“</w:t>
      </w:r>
      <w:r w:rsidRPr="009B37A3">
        <w:t>CIPFA</w:t>
      </w:r>
      <w:r w:rsidR="009A2FEB">
        <w:t>”)</w:t>
      </w:r>
      <w:r w:rsidRPr="009B37A3">
        <w:t xml:space="preserve"> guidance.</w:t>
      </w:r>
      <w:r w:rsidR="005A6D13" w:rsidRPr="009B37A3">
        <w:t xml:space="preserve"> </w:t>
      </w:r>
      <w:r w:rsidR="00A41D95">
        <w:t xml:space="preserve">The </w:t>
      </w:r>
      <w:r w:rsidRPr="009B37A3">
        <w:t>Audit and Governance</w:t>
      </w:r>
      <w:r w:rsidR="00A41D95">
        <w:t xml:space="preserve"> Committee</w:t>
      </w:r>
      <w:r w:rsidRPr="009B37A3">
        <w:t xml:space="preserve"> is responsible for setting the C</w:t>
      </w:r>
      <w:r w:rsidR="009E406E">
        <w:t>ouncil Tax base, approving the A</w:t>
      </w:r>
      <w:r w:rsidRPr="009B37A3">
        <w:t>nnual Statement of Accounts, reviewing quarterly risk management reports and noting and commenting on the work plans and reports of the Council’s internal and external auditors</w:t>
      </w:r>
      <w:r w:rsidR="005A6D13" w:rsidRPr="009B37A3">
        <w:t xml:space="preserve">. </w:t>
      </w:r>
      <w:r w:rsidR="00A41D95">
        <w:t>The</w:t>
      </w:r>
      <w:r w:rsidR="00714F7B">
        <w:t xml:space="preserve"> C</w:t>
      </w:r>
      <w:r w:rsidR="00A41D95">
        <w:t xml:space="preserve">ommittee monitors the implementation of audit actions. </w:t>
      </w:r>
      <w:r w:rsidRPr="009B37A3">
        <w:t>In 2017/18 the Committee also received update reports from officers following internal audit reports on fraud investigation activities, ICT service transformation and business continuity and disaster recovery.</w:t>
      </w:r>
    </w:p>
    <w:p w:rsidR="006B17B1" w:rsidRPr="009B37A3" w:rsidRDefault="006B17B1" w:rsidP="006B17B1"/>
    <w:p w:rsidR="001B059F" w:rsidRPr="009B37A3" w:rsidRDefault="006B17B1" w:rsidP="001B059F">
      <w:pPr>
        <w:numPr>
          <w:ilvl w:val="0"/>
          <w:numId w:val="1"/>
        </w:numPr>
        <w:tabs>
          <w:tab w:val="num" w:pos="567"/>
        </w:tabs>
        <w:ind w:left="567" w:hanging="567"/>
      </w:pPr>
      <w:r w:rsidRPr="009B37A3">
        <w:t xml:space="preserve">The Council has a coherent accounting and budgeting framework which includes the monthly monitoring and publication of </w:t>
      </w:r>
      <w:r w:rsidR="00C60189" w:rsidRPr="009B37A3">
        <w:t xml:space="preserve">spend against budget. </w:t>
      </w:r>
      <w:r w:rsidRPr="009B37A3">
        <w:t xml:space="preserve">The Medium Term Financial Plan and budget setting </w:t>
      </w:r>
      <w:r w:rsidR="00FA47DB" w:rsidRPr="009B37A3">
        <w:t>are</w:t>
      </w:r>
      <w:r w:rsidRPr="009B37A3">
        <w:t xml:space="preserve"> </w:t>
      </w:r>
      <w:r w:rsidR="00C46D6E" w:rsidRPr="009B37A3">
        <w:t>underpinned by the</w:t>
      </w:r>
      <w:r w:rsidRPr="009B37A3">
        <w:t xml:space="preserve"> prioritisation and savings plans which are regularly reviewed and updated by the </w:t>
      </w:r>
      <w:r w:rsidR="00A41D95">
        <w:t xml:space="preserve">City </w:t>
      </w:r>
      <w:r w:rsidRPr="009B37A3">
        <w:t>Executive</w:t>
      </w:r>
      <w:r w:rsidR="00A41D95">
        <w:t xml:space="preserve"> Board</w:t>
      </w:r>
      <w:r w:rsidRPr="009B37A3">
        <w:t>.</w:t>
      </w:r>
      <w:r w:rsidR="00B01FAB" w:rsidRPr="009B37A3">
        <w:t xml:space="preserve"> </w:t>
      </w:r>
    </w:p>
    <w:p w:rsidR="00297B03" w:rsidRPr="009B37A3" w:rsidRDefault="00297B03" w:rsidP="00297B03">
      <w:pPr>
        <w:pStyle w:val="ListParagraph"/>
      </w:pPr>
    </w:p>
    <w:p w:rsidR="001B059F" w:rsidRPr="009B37A3" w:rsidRDefault="006B17B1" w:rsidP="001B059F">
      <w:pPr>
        <w:numPr>
          <w:ilvl w:val="0"/>
          <w:numId w:val="1"/>
        </w:numPr>
        <w:tabs>
          <w:tab w:val="num" w:pos="567"/>
        </w:tabs>
        <w:ind w:left="567" w:hanging="567"/>
      </w:pPr>
      <w:r w:rsidRPr="009B37A3">
        <w:t>The Monitoring Officer and Chief Finance Officer have had no cause to issue reports in exercise of th</w:t>
      </w:r>
      <w:r w:rsidR="005571E9" w:rsidRPr="009B37A3">
        <w:t xml:space="preserve">eir statutory powers in the </w:t>
      </w:r>
      <w:r w:rsidR="00667329" w:rsidRPr="009B37A3">
        <w:t>2017/18</w:t>
      </w:r>
      <w:r w:rsidRPr="009B37A3">
        <w:t xml:space="preserve"> financial year. </w:t>
      </w:r>
    </w:p>
    <w:p w:rsidR="00297B03" w:rsidRPr="009B37A3" w:rsidRDefault="00297B03" w:rsidP="00297B03">
      <w:pPr>
        <w:pStyle w:val="ListParagraph"/>
      </w:pPr>
    </w:p>
    <w:p w:rsidR="00A41D95" w:rsidRDefault="006B17B1" w:rsidP="001B059F">
      <w:pPr>
        <w:numPr>
          <w:ilvl w:val="0"/>
          <w:numId w:val="1"/>
        </w:numPr>
        <w:tabs>
          <w:tab w:val="num" w:pos="567"/>
        </w:tabs>
        <w:ind w:left="567" w:hanging="567"/>
      </w:pPr>
      <w:r w:rsidRPr="009B37A3">
        <w:lastRenderedPageBreak/>
        <w:t xml:space="preserve">The Council has adopted a Whistleblowing Policy. The Policy is published within the Council’s Constitution and is periodically reviewed by the Monitoring Officer. </w:t>
      </w:r>
      <w:r w:rsidR="005E361D">
        <w:t>It will be reviewed in 2018</w:t>
      </w:r>
      <w:r w:rsidR="00A41D95">
        <w:t>/19.</w:t>
      </w:r>
    </w:p>
    <w:p w:rsidR="00A41D95" w:rsidRDefault="00A41D95" w:rsidP="00A41D95">
      <w:pPr>
        <w:pStyle w:val="ListParagraph"/>
      </w:pPr>
    </w:p>
    <w:p w:rsidR="001B059F" w:rsidRPr="009B37A3" w:rsidRDefault="006B17B1" w:rsidP="001B059F">
      <w:pPr>
        <w:numPr>
          <w:ilvl w:val="0"/>
          <w:numId w:val="1"/>
        </w:numPr>
        <w:tabs>
          <w:tab w:val="num" w:pos="567"/>
        </w:tabs>
        <w:ind w:left="567" w:hanging="567"/>
      </w:pPr>
      <w:r w:rsidRPr="009B37A3">
        <w:t xml:space="preserve">The Council also operates </w:t>
      </w:r>
      <w:proofErr w:type="gramStart"/>
      <w:r w:rsidRPr="009B37A3">
        <w:t>a corporate complaints</w:t>
      </w:r>
      <w:proofErr w:type="gramEnd"/>
      <w:r w:rsidR="00A41D95">
        <w:t>, comments and compliments</w:t>
      </w:r>
      <w:r w:rsidRPr="009B37A3">
        <w:t xml:space="preserve"> system</w:t>
      </w:r>
      <w:r w:rsidR="00A41D95">
        <w:t xml:space="preserve"> (“the 3 Cs</w:t>
      </w:r>
      <w:r w:rsidR="00714F7B">
        <w:t>”</w:t>
      </w:r>
      <w:r w:rsidR="00A41D95">
        <w:t>)</w:t>
      </w:r>
      <w:r w:rsidRPr="009B37A3">
        <w:t>. The Council has sought to integrate the corporate complaints process with its C</w:t>
      </w:r>
      <w:r w:rsidR="00C46D6E" w:rsidRPr="009B37A3">
        <w:t xml:space="preserve">ustomer </w:t>
      </w:r>
      <w:r w:rsidRPr="009B37A3">
        <w:t>R</w:t>
      </w:r>
      <w:r w:rsidR="00C46D6E" w:rsidRPr="009B37A3">
        <w:t xml:space="preserve">elationship </w:t>
      </w:r>
      <w:r w:rsidRPr="009B37A3">
        <w:t>M</w:t>
      </w:r>
      <w:r w:rsidR="00C46D6E" w:rsidRPr="009B37A3">
        <w:t>anagement</w:t>
      </w:r>
      <w:r w:rsidRPr="009B37A3">
        <w:t xml:space="preserve"> system so as to ensure the consistent capturing and </w:t>
      </w:r>
      <w:r w:rsidR="00CB7D7D" w:rsidRPr="009B37A3">
        <w:t xml:space="preserve">reporting of customer feedback. </w:t>
      </w:r>
    </w:p>
    <w:p w:rsidR="00064246" w:rsidRPr="009B37A3" w:rsidRDefault="00064246" w:rsidP="00D43FC1">
      <w:pPr>
        <w:ind w:left="567"/>
      </w:pPr>
    </w:p>
    <w:p w:rsidR="00DA6CC6" w:rsidRDefault="00DA6CC6" w:rsidP="00DA6CC6">
      <w:pPr>
        <w:pStyle w:val="ListParagraph"/>
        <w:numPr>
          <w:ilvl w:val="0"/>
          <w:numId w:val="1"/>
        </w:numPr>
        <w:tabs>
          <w:tab w:val="clear" w:pos="1080"/>
          <w:tab w:val="num" w:pos="567"/>
        </w:tabs>
        <w:ind w:left="567" w:hanging="567"/>
      </w:pPr>
      <w:bookmarkStart w:id="0" w:name="_GoBack"/>
      <w:bookmarkEnd w:id="0"/>
      <w:r w:rsidRPr="00DA6CC6">
        <w:rPr>
          <w:color w:val="000000"/>
        </w:rPr>
        <w:t>T</w:t>
      </w:r>
      <w:r>
        <w:t xml:space="preserve">here were no formal Public Interest Reports issued </w:t>
      </w:r>
      <w:r w:rsidRPr="00DA6CC6">
        <w:rPr>
          <w:color w:val="000000"/>
        </w:rPr>
        <w:t xml:space="preserve">and no complaints were upheld </w:t>
      </w:r>
      <w:r>
        <w:t xml:space="preserve">by the Local Government </w:t>
      </w:r>
      <w:r w:rsidRPr="00DA6CC6">
        <w:rPr>
          <w:color w:val="000000"/>
        </w:rPr>
        <w:t xml:space="preserve">and Social Care </w:t>
      </w:r>
      <w:r>
        <w:t>Ombudsman against the Council in this year</w:t>
      </w:r>
      <w:r w:rsidRPr="00DA6CC6">
        <w:rPr>
          <w:color w:val="000000"/>
        </w:rPr>
        <w:t>.  One</w:t>
      </w:r>
      <w:r>
        <w:t xml:space="preserve"> complaint against the Council w</w:t>
      </w:r>
      <w:r w:rsidRPr="00DA6CC6">
        <w:rPr>
          <w:color w:val="000000"/>
        </w:rPr>
        <w:t xml:space="preserve">as </w:t>
      </w:r>
      <w:r>
        <w:t>upheld</w:t>
      </w:r>
      <w:r w:rsidRPr="00DA6CC6">
        <w:rPr>
          <w:color w:val="000000"/>
        </w:rPr>
        <w:t xml:space="preserve"> by the Housing Ombudsman.  It related to the Council’s failure to follow its recharge policy for works to void properties (Council owned homes that have become empty) and a delay in installing a rear fence.  The recharge policy and procedure has been reviewed and updated, partly because of this determination.</w:t>
      </w:r>
    </w:p>
    <w:p w:rsidR="00EA0110" w:rsidRPr="009B37A3" w:rsidRDefault="00AD0302" w:rsidP="00AD0302">
      <w:pPr>
        <w:tabs>
          <w:tab w:val="num" w:pos="567"/>
        </w:tabs>
      </w:pPr>
      <w:r w:rsidRPr="009B37A3">
        <w:t xml:space="preserve"> </w:t>
      </w:r>
    </w:p>
    <w:p w:rsidR="006B17B1" w:rsidRDefault="006B17B1" w:rsidP="001B059F">
      <w:pPr>
        <w:pStyle w:val="ListParagraph"/>
        <w:numPr>
          <w:ilvl w:val="0"/>
          <w:numId w:val="1"/>
        </w:numPr>
        <w:tabs>
          <w:tab w:val="clear" w:pos="1080"/>
          <w:tab w:val="num" w:pos="567"/>
        </w:tabs>
        <w:ind w:left="567" w:hanging="567"/>
      </w:pPr>
      <w:r w:rsidRPr="009B37A3">
        <w:t>The Audit and Governance Committee receive</w:t>
      </w:r>
      <w:r w:rsidR="00932980" w:rsidRPr="009B37A3">
        <w:t>s</w:t>
      </w:r>
      <w:r w:rsidRPr="009B37A3">
        <w:t xml:space="preserve"> quarterly reports on all allegations of fraud or corruption</w:t>
      </w:r>
      <w:r w:rsidR="00C46D6E" w:rsidRPr="009B37A3">
        <w:t xml:space="preserve"> </w:t>
      </w:r>
      <w:r w:rsidR="00C53518">
        <w:t xml:space="preserve">once any on-going investigation is complete </w:t>
      </w:r>
      <w:r w:rsidR="00C46D6E" w:rsidRPr="009B37A3">
        <w:t xml:space="preserve">as well as </w:t>
      </w:r>
      <w:r w:rsidR="00FA47DB" w:rsidRPr="009B37A3">
        <w:t xml:space="preserve">those </w:t>
      </w:r>
      <w:r w:rsidR="00C46D6E" w:rsidRPr="009B37A3">
        <w:t>Ombudsman complaints</w:t>
      </w:r>
      <w:r w:rsidR="00FA47DB" w:rsidRPr="009B37A3">
        <w:t xml:space="preserve"> for which a Public Interest Report is issued</w:t>
      </w:r>
      <w:r w:rsidRPr="009B37A3">
        <w:t>.</w:t>
      </w:r>
    </w:p>
    <w:p w:rsidR="008F1242" w:rsidRDefault="008F1242" w:rsidP="008F1242">
      <w:pPr>
        <w:pStyle w:val="ListParagraph"/>
      </w:pPr>
    </w:p>
    <w:p w:rsidR="008F1242" w:rsidRDefault="008F1242" w:rsidP="008F1242">
      <w:pPr>
        <w:tabs>
          <w:tab w:val="num" w:pos="567"/>
        </w:tabs>
      </w:pPr>
    </w:p>
    <w:p w:rsidR="006B17B1" w:rsidRPr="009B37A3" w:rsidRDefault="006B17B1" w:rsidP="006B17B1">
      <w:pPr>
        <w:rPr>
          <w:b/>
        </w:rPr>
      </w:pPr>
      <w:r w:rsidRPr="009B37A3">
        <w:rPr>
          <w:b/>
        </w:rPr>
        <w:t>Review of Effectiveness</w:t>
      </w:r>
    </w:p>
    <w:p w:rsidR="006B17B1" w:rsidRPr="009B37A3" w:rsidRDefault="006B17B1" w:rsidP="006B17B1"/>
    <w:p w:rsidR="006B17B1" w:rsidRPr="009B37A3" w:rsidRDefault="006B17B1" w:rsidP="001B059F">
      <w:pPr>
        <w:pStyle w:val="ListParagraph"/>
        <w:numPr>
          <w:ilvl w:val="0"/>
          <w:numId w:val="1"/>
        </w:numPr>
        <w:tabs>
          <w:tab w:val="clear" w:pos="1080"/>
          <w:tab w:val="num" w:pos="567"/>
        </w:tabs>
        <w:ind w:left="567" w:hanging="567"/>
      </w:pPr>
      <w:r w:rsidRPr="009B37A3">
        <w:t xml:space="preserve">The Authority has responsibility for conducting, at least annually, a review of the effectiveness of its governance framework, including the system of internal control. The review of effectiveness is informed by the work of </w:t>
      </w:r>
      <w:r w:rsidR="00FA47DB" w:rsidRPr="009B37A3">
        <w:t xml:space="preserve">senior officers </w:t>
      </w:r>
      <w:r w:rsidRPr="009B37A3">
        <w:t>within the Authority who have responsibility for the development and maintenance of the governance environment, the Head of Internal Audit’s annual report and also by comments made by the external auditors and other review agencies and inspectorates.</w:t>
      </w:r>
    </w:p>
    <w:p w:rsidR="006B17B1" w:rsidRPr="009B37A3" w:rsidRDefault="006B17B1" w:rsidP="006B17B1"/>
    <w:p w:rsidR="006B17B1" w:rsidRPr="009B37A3" w:rsidRDefault="006B17B1" w:rsidP="001B059F">
      <w:pPr>
        <w:pStyle w:val="ListParagraph"/>
        <w:numPr>
          <w:ilvl w:val="0"/>
          <w:numId w:val="1"/>
        </w:numPr>
        <w:tabs>
          <w:tab w:val="clear" w:pos="1080"/>
          <w:tab w:val="num" w:pos="567"/>
        </w:tabs>
        <w:ind w:left="567" w:hanging="567"/>
      </w:pPr>
      <w:r w:rsidRPr="009B37A3">
        <w:t>In preparing this statement each service area has completed and each Head of Service has signed an assurance checklist. The checkl</w:t>
      </w:r>
      <w:r w:rsidR="00757AFC" w:rsidRPr="009B37A3">
        <w:t>ist covers the following areas:</w:t>
      </w:r>
    </w:p>
    <w:p w:rsidR="006B17B1" w:rsidRPr="009B37A3" w:rsidRDefault="006B17B1" w:rsidP="006B17B1"/>
    <w:p w:rsidR="006B17B1" w:rsidRPr="009B37A3" w:rsidRDefault="006B17B1" w:rsidP="006B17B1">
      <w:pPr>
        <w:ind w:left="993"/>
      </w:pPr>
      <w:r w:rsidRPr="009B37A3">
        <w:t>Risk Management</w:t>
      </w:r>
    </w:p>
    <w:p w:rsidR="006B17B1" w:rsidRPr="009B37A3" w:rsidRDefault="006B17B1" w:rsidP="006B17B1">
      <w:pPr>
        <w:ind w:left="993"/>
      </w:pPr>
      <w:r w:rsidRPr="009B37A3">
        <w:t>Business Performance</w:t>
      </w:r>
      <w:r w:rsidR="002E4E7C" w:rsidRPr="009B37A3">
        <w:t xml:space="preserve"> </w:t>
      </w:r>
    </w:p>
    <w:p w:rsidR="006B17B1" w:rsidRPr="009B37A3" w:rsidRDefault="002E4E7C" w:rsidP="006B17B1">
      <w:pPr>
        <w:ind w:left="993"/>
      </w:pPr>
      <w:r w:rsidRPr="009B37A3">
        <w:t>Pro</w:t>
      </w:r>
      <w:r w:rsidR="00E1691D" w:rsidRPr="009B37A3">
        <w:t>jects</w:t>
      </w:r>
      <w:r w:rsidR="006B17B1" w:rsidRPr="009B37A3">
        <w:t xml:space="preserve"> and project management</w:t>
      </w:r>
    </w:p>
    <w:p w:rsidR="006B17B1" w:rsidRPr="009B37A3" w:rsidRDefault="006B17B1" w:rsidP="006B17B1">
      <w:pPr>
        <w:ind w:left="993"/>
      </w:pPr>
      <w:r w:rsidRPr="009B37A3">
        <w:t>Financial management</w:t>
      </w:r>
    </w:p>
    <w:p w:rsidR="006B17B1" w:rsidRPr="009B37A3" w:rsidRDefault="006B17B1" w:rsidP="006B17B1">
      <w:pPr>
        <w:ind w:left="993"/>
      </w:pPr>
      <w:r w:rsidRPr="009B37A3">
        <w:t>Fraud</w:t>
      </w:r>
    </w:p>
    <w:p w:rsidR="006B17B1" w:rsidRPr="009B37A3" w:rsidRDefault="006B17B1" w:rsidP="006B17B1">
      <w:pPr>
        <w:ind w:left="993"/>
      </w:pPr>
      <w:r w:rsidRPr="009B37A3">
        <w:t>Procurement and contract management</w:t>
      </w:r>
    </w:p>
    <w:p w:rsidR="006B17B1" w:rsidRPr="009B37A3" w:rsidRDefault="006B17B1" w:rsidP="006B17B1">
      <w:pPr>
        <w:ind w:left="993"/>
      </w:pPr>
      <w:r w:rsidRPr="009B37A3">
        <w:t>Human resources</w:t>
      </w:r>
    </w:p>
    <w:p w:rsidR="006B17B1" w:rsidRPr="009B37A3" w:rsidRDefault="006B17B1" w:rsidP="006B17B1">
      <w:pPr>
        <w:ind w:left="993"/>
      </w:pPr>
      <w:r w:rsidRPr="009B37A3">
        <w:t>Equality and Diversity</w:t>
      </w:r>
    </w:p>
    <w:p w:rsidR="006B17B1" w:rsidRPr="009B37A3" w:rsidRDefault="006B17B1" w:rsidP="006B17B1">
      <w:pPr>
        <w:ind w:left="993"/>
      </w:pPr>
      <w:r w:rsidRPr="009B37A3">
        <w:t>Data quality and security</w:t>
      </w:r>
    </w:p>
    <w:p w:rsidR="006B17B1" w:rsidRPr="009B37A3" w:rsidRDefault="006B17B1" w:rsidP="006B17B1">
      <w:pPr>
        <w:ind w:left="993"/>
      </w:pPr>
      <w:r w:rsidRPr="009B37A3">
        <w:t>Health and safety</w:t>
      </w:r>
    </w:p>
    <w:p w:rsidR="006B17B1" w:rsidRPr="009B37A3" w:rsidRDefault="006B17B1" w:rsidP="006B17B1">
      <w:pPr>
        <w:ind w:left="993"/>
      </w:pPr>
      <w:r w:rsidRPr="009B37A3">
        <w:t>External accreditations</w:t>
      </w:r>
    </w:p>
    <w:p w:rsidR="006B17B1" w:rsidRPr="009B37A3" w:rsidRDefault="006B17B1" w:rsidP="006B17B1">
      <w:pPr>
        <w:ind w:left="993"/>
      </w:pPr>
      <w:r w:rsidRPr="009B37A3">
        <w:t>Review and documentation of business critical processes</w:t>
      </w:r>
    </w:p>
    <w:p w:rsidR="006B17B1" w:rsidRPr="009B37A3" w:rsidRDefault="006B17B1" w:rsidP="006B17B1"/>
    <w:p w:rsidR="006B17B1" w:rsidRPr="009B37A3" w:rsidRDefault="006B17B1" w:rsidP="001B059F">
      <w:pPr>
        <w:pStyle w:val="ListParagraph"/>
        <w:numPr>
          <w:ilvl w:val="0"/>
          <w:numId w:val="1"/>
        </w:numPr>
        <w:tabs>
          <w:tab w:val="clear" w:pos="1080"/>
          <w:tab w:val="num" w:pos="567"/>
        </w:tabs>
        <w:ind w:left="567" w:hanging="567"/>
      </w:pPr>
      <w:r w:rsidRPr="009B37A3">
        <w:t>The checklist 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Each service gave a positive assurance.</w:t>
      </w:r>
    </w:p>
    <w:p w:rsidR="00EF3745" w:rsidRPr="009B37A3" w:rsidRDefault="00EF3745" w:rsidP="00EF3745">
      <w:pPr>
        <w:tabs>
          <w:tab w:val="num" w:pos="567"/>
        </w:tabs>
      </w:pPr>
    </w:p>
    <w:p w:rsidR="00EF3745" w:rsidRDefault="00263FE9" w:rsidP="00EF3745">
      <w:pPr>
        <w:pStyle w:val="ListParagraph"/>
        <w:numPr>
          <w:ilvl w:val="0"/>
          <w:numId w:val="1"/>
        </w:numPr>
        <w:tabs>
          <w:tab w:val="clear" w:pos="1080"/>
          <w:tab w:val="num" w:pos="567"/>
        </w:tabs>
        <w:ind w:left="567" w:hanging="567"/>
      </w:pPr>
      <w:r w:rsidRPr="009B37A3">
        <w:rPr>
          <w:color w:val="000000"/>
        </w:rPr>
        <w:t>Th</w:t>
      </w:r>
      <w:r w:rsidRPr="009B37A3">
        <w:t>e weaknesses</w:t>
      </w:r>
      <w:r w:rsidRPr="009B37A3">
        <w:rPr>
          <w:color w:val="000000"/>
        </w:rPr>
        <w:t xml:space="preserve"> identified in the Council’s Business Continuity Planning </w:t>
      </w:r>
      <w:r w:rsidR="00C53518">
        <w:rPr>
          <w:color w:val="000000"/>
        </w:rPr>
        <w:t xml:space="preserve">(“BCP”) </w:t>
      </w:r>
      <w:r w:rsidRPr="009B37A3">
        <w:rPr>
          <w:color w:val="000000"/>
        </w:rPr>
        <w:t xml:space="preserve">process in 2016/17 are being addressed through the action plan that was prepared in conjunction with the Council’s insurers, Zurich Municipal.  Service Area Business Continuity Plans have been reviewed and Zurich Municipal </w:t>
      </w:r>
      <w:r w:rsidRPr="009B37A3">
        <w:t>provided a realistic and challenging test of the Business Continuity Plans (and the Corporate BCP) in October 2017 so that the Council could be confident that the plans were broadly effective.  A review and update of the Corporate BCP following the test is nearing completion.</w:t>
      </w:r>
    </w:p>
    <w:p w:rsidR="008F1242" w:rsidRDefault="008F1242" w:rsidP="008F1242">
      <w:pPr>
        <w:pStyle w:val="ListParagraph"/>
      </w:pPr>
    </w:p>
    <w:p w:rsidR="008F1242" w:rsidRDefault="008F1242" w:rsidP="008F1242">
      <w:pPr>
        <w:tabs>
          <w:tab w:val="num" w:pos="567"/>
        </w:tabs>
      </w:pPr>
    </w:p>
    <w:p w:rsidR="008F1242" w:rsidRPr="009B37A3" w:rsidRDefault="008F1242" w:rsidP="008F1242">
      <w:pPr>
        <w:pStyle w:val="ListParagraph"/>
        <w:ind w:left="0"/>
        <w:rPr>
          <w:b/>
        </w:rPr>
      </w:pPr>
      <w:r w:rsidRPr="009B37A3">
        <w:rPr>
          <w:b/>
        </w:rPr>
        <w:t>CIPFA Statement on the Role of the Chief Financial Officer</w:t>
      </w:r>
    </w:p>
    <w:p w:rsidR="008F1242" w:rsidRDefault="008F1242" w:rsidP="00C53518"/>
    <w:p w:rsidR="00163032" w:rsidRPr="00163032" w:rsidRDefault="00163032" w:rsidP="008F1242">
      <w:pPr>
        <w:pStyle w:val="ListParagraph"/>
        <w:numPr>
          <w:ilvl w:val="0"/>
          <w:numId w:val="1"/>
        </w:numPr>
        <w:tabs>
          <w:tab w:val="clear" w:pos="1080"/>
          <w:tab w:val="num" w:pos="567"/>
        </w:tabs>
        <w:ind w:left="567" w:hanging="567"/>
      </w:pPr>
      <w:r w:rsidRPr="00163032">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rsidR="00163032" w:rsidRPr="00163032" w:rsidRDefault="00163032" w:rsidP="00163032"/>
    <w:p w:rsidR="00163032" w:rsidRPr="00163032" w:rsidRDefault="00163032" w:rsidP="00163032">
      <w:pPr>
        <w:pStyle w:val="ListParagraph"/>
        <w:numPr>
          <w:ilvl w:val="0"/>
          <w:numId w:val="27"/>
        </w:numPr>
      </w:pPr>
      <w:r w:rsidRPr="00163032">
        <w:t xml:space="preserve">The Chief Financial Officer (“CFO”) in a local authority is a key member of the leadership team, helping it to develop and implement strategy. In </w:t>
      </w:r>
      <w:r w:rsidR="00383886">
        <w:t xml:space="preserve">the Council </w:t>
      </w:r>
      <w:r w:rsidRPr="00163032">
        <w:t xml:space="preserve"> the CFO is a key member of the Corporate Management Team with direct access to the Chief Executive, members, Audit &amp; Governance Committee and internal and external audit</w:t>
      </w:r>
    </w:p>
    <w:p w:rsidR="00163032" w:rsidRPr="00163032" w:rsidRDefault="00163032" w:rsidP="00163032">
      <w:pPr>
        <w:ind w:left="360"/>
      </w:pPr>
    </w:p>
    <w:p w:rsidR="00163032" w:rsidRPr="00163032" w:rsidRDefault="00163032" w:rsidP="00163032">
      <w:pPr>
        <w:pStyle w:val="ListParagraph"/>
        <w:numPr>
          <w:ilvl w:val="0"/>
          <w:numId w:val="27"/>
        </w:numPr>
      </w:pPr>
      <w:r w:rsidRPr="00163032">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rsidR="00163032" w:rsidRPr="00163032" w:rsidRDefault="00163032" w:rsidP="00163032">
      <w:pPr>
        <w:pStyle w:val="ListParagraph"/>
      </w:pPr>
    </w:p>
    <w:p w:rsidR="00163032" w:rsidRPr="00163032" w:rsidRDefault="00163032" w:rsidP="00163032">
      <w:pPr>
        <w:pStyle w:val="ListParagraph"/>
        <w:numPr>
          <w:ilvl w:val="0"/>
          <w:numId w:val="27"/>
        </w:numPr>
      </w:pPr>
      <w:r w:rsidRPr="00163032">
        <w:t>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w:t>
      </w:r>
      <w:r w:rsidR="0050187E">
        <w:t>ford West End Development Limited (</w:t>
      </w:r>
      <w:proofErr w:type="spellStart"/>
      <w:r w:rsidR="0050187E">
        <w:t>Ox</w:t>
      </w:r>
      <w:r w:rsidRPr="00163032">
        <w:t>WED</w:t>
      </w:r>
      <w:proofErr w:type="spellEnd"/>
      <w:r w:rsidR="0050187E">
        <w:t>)</w:t>
      </w:r>
      <w:r w:rsidRPr="00163032">
        <w:t xml:space="preserve"> and Barton LLP</w:t>
      </w:r>
    </w:p>
    <w:p w:rsidR="00163032" w:rsidRPr="00163032" w:rsidRDefault="00163032" w:rsidP="00163032"/>
    <w:p w:rsidR="00163032" w:rsidRPr="00163032" w:rsidRDefault="00163032" w:rsidP="00163032">
      <w:pPr>
        <w:pStyle w:val="ListParagraph"/>
        <w:numPr>
          <w:ilvl w:val="0"/>
          <w:numId w:val="27"/>
        </w:numPr>
      </w:pPr>
      <w:r w:rsidRPr="00163032">
        <w:lastRenderedPageBreak/>
        <w:t>The CFO in a local authority must lead and direct a finance function that is resourced to be fit for purpose. In Oxford the CFO currently has sufficient resources to undertake the Finance function and this is subject to review</w:t>
      </w:r>
    </w:p>
    <w:p w:rsidR="00163032" w:rsidRPr="00163032" w:rsidRDefault="00163032" w:rsidP="00163032">
      <w:pPr>
        <w:ind w:left="360"/>
      </w:pPr>
    </w:p>
    <w:p w:rsidR="008F1242" w:rsidRDefault="00163032" w:rsidP="00C93BD7">
      <w:pPr>
        <w:pStyle w:val="ListParagraph"/>
        <w:numPr>
          <w:ilvl w:val="0"/>
          <w:numId w:val="27"/>
        </w:numPr>
        <w:ind w:hanging="273"/>
      </w:pPr>
      <w:r w:rsidRPr="00163032">
        <w:t xml:space="preserve">The CFO in a local authority must be professionally qualified and suitably experienced. The CFO and a number of key staff within the Finance Team are suitably qualified. </w:t>
      </w:r>
      <w:r w:rsidRPr="00163032">
        <w:rPr>
          <w:color w:val="000000"/>
        </w:rPr>
        <w:t>Deputising for the CFO on matters of financial accounting is undertaken by the Financial Accounting Manager and Management Accountancy Manager, with additional posts taking responsibility on matters relating to Procurement and Revenues.</w:t>
      </w:r>
    </w:p>
    <w:p w:rsidR="00DE6ECD" w:rsidRPr="009B37A3" w:rsidRDefault="00DE6ECD" w:rsidP="00DE6ECD"/>
    <w:p w:rsidR="00E20B91" w:rsidRPr="009B37A3" w:rsidRDefault="00E20B91" w:rsidP="00BC4719">
      <w:pPr>
        <w:pStyle w:val="ListParagraph"/>
        <w:ind w:left="1080"/>
      </w:pPr>
    </w:p>
    <w:p w:rsidR="00C564C0" w:rsidRPr="009B37A3" w:rsidRDefault="00C564C0" w:rsidP="00C564C0">
      <w:pPr>
        <w:rPr>
          <w:b/>
        </w:rPr>
      </w:pPr>
      <w:r w:rsidRPr="009B37A3">
        <w:rPr>
          <w:b/>
        </w:rPr>
        <w:t>Awards/Recognition</w:t>
      </w:r>
    </w:p>
    <w:p w:rsidR="00C564C0" w:rsidRPr="009B37A3" w:rsidRDefault="00C564C0" w:rsidP="00C564C0"/>
    <w:p w:rsidR="00C564C0" w:rsidRPr="009B37A3" w:rsidRDefault="00074EDE" w:rsidP="001B059F">
      <w:pPr>
        <w:pStyle w:val="ListParagraph"/>
        <w:numPr>
          <w:ilvl w:val="0"/>
          <w:numId w:val="1"/>
        </w:numPr>
        <w:tabs>
          <w:tab w:val="clear" w:pos="1080"/>
          <w:tab w:val="num" w:pos="567"/>
        </w:tabs>
        <w:ind w:left="567" w:hanging="567"/>
      </w:pPr>
      <w:r>
        <w:t xml:space="preserve">The Council wishes to ensure that it remains up to date with best practice and standards of performance so it regularly enters competitions against its peers and has achieved standards and won awards as set out in </w:t>
      </w:r>
      <w:r w:rsidR="00263FE9" w:rsidRPr="009B37A3">
        <w:t>Appendix 1 to this statement.</w:t>
      </w:r>
    </w:p>
    <w:p w:rsidR="00F45740" w:rsidRPr="009B37A3" w:rsidRDefault="00F45740" w:rsidP="00F45740">
      <w:pPr>
        <w:tabs>
          <w:tab w:val="num" w:pos="567"/>
        </w:tabs>
      </w:pPr>
    </w:p>
    <w:p w:rsidR="00E20B91" w:rsidRPr="009B37A3" w:rsidRDefault="00E20B91" w:rsidP="006B17B1">
      <w:pPr>
        <w:rPr>
          <w:b/>
          <w:u w:val="single"/>
        </w:rPr>
      </w:pPr>
    </w:p>
    <w:p w:rsidR="006B17B1" w:rsidRPr="009B37A3" w:rsidRDefault="006B17B1" w:rsidP="006B17B1">
      <w:r w:rsidRPr="009B37A3">
        <w:rPr>
          <w:b/>
        </w:rPr>
        <w:t>Significant Governance Issues</w:t>
      </w:r>
    </w:p>
    <w:p w:rsidR="00AD6B92" w:rsidRDefault="006B17B1" w:rsidP="0019769F">
      <w:pPr>
        <w:pStyle w:val="NormalWeb"/>
        <w:numPr>
          <w:ilvl w:val="0"/>
          <w:numId w:val="1"/>
        </w:numPr>
        <w:tabs>
          <w:tab w:val="clear" w:pos="1080"/>
          <w:tab w:val="num" w:pos="567"/>
        </w:tabs>
        <w:spacing w:before="120" w:after="60"/>
        <w:ind w:left="567" w:hanging="567"/>
        <w:textAlignment w:val="baseline"/>
        <w:rPr>
          <w:rFonts w:ascii="Arial" w:hAnsi="Arial" w:cs="Arial"/>
          <w:lang w:eastAsia="en-GB"/>
        </w:rPr>
      </w:pPr>
      <w:r w:rsidRPr="009B37A3">
        <w:rPr>
          <w:rFonts w:ascii="Arial" w:hAnsi="Arial" w:cs="Arial"/>
        </w:rPr>
        <w:t xml:space="preserve">The control framework described above facilitates the identification of any areas of the Council’s activities where there are significant weaknesses in the financial controls, governance arrangements or the management of risk. </w:t>
      </w:r>
    </w:p>
    <w:p w:rsidR="0019769F" w:rsidRPr="009B37A3" w:rsidRDefault="0019769F" w:rsidP="0019769F">
      <w:pPr>
        <w:pStyle w:val="NormalWeb"/>
        <w:spacing w:before="120" w:after="60"/>
        <w:textAlignment w:val="baseline"/>
        <w:rPr>
          <w:rFonts w:ascii="Arial" w:hAnsi="Arial" w:cs="Arial"/>
          <w:lang w:eastAsia="en-GB"/>
        </w:rPr>
      </w:pPr>
    </w:p>
    <w:p w:rsidR="00163032" w:rsidRPr="000D723D" w:rsidRDefault="00163032" w:rsidP="0019769F">
      <w:pPr>
        <w:pStyle w:val="ListParagraph"/>
        <w:numPr>
          <w:ilvl w:val="0"/>
          <w:numId w:val="1"/>
        </w:numPr>
        <w:tabs>
          <w:tab w:val="clear" w:pos="1080"/>
          <w:tab w:val="num" w:pos="567"/>
        </w:tabs>
        <w:ind w:left="567" w:hanging="567"/>
        <w:rPr>
          <w:color w:val="000000"/>
        </w:rPr>
      </w:pPr>
      <w:r w:rsidRPr="00163032">
        <w:rPr>
          <w:color w:val="000000"/>
        </w:rPr>
        <w:t>Business Continuity Planning was considered in the internal audit work programme in 2016-17. This work identified a number of inadequacies in this area. Subsequent work undertaken by the Council to address these issues has been undertaken including testing of all service BCPs in a staged scenario and also testing of the ICT dis</w:t>
      </w:r>
      <w:r>
        <w:rPr>
          <w:color w:val="000000"/>
        </w:rPr>
        <w:t>aster recovery plan. The result</w:t>
      </w:r>
      <w:r w:rsidRPr="00163032">
        <w:rPr>
          <w:color w:val="000000"/>
        </w:rPr>
        <w:t xml:space="preserve"> of this work was </w:t>
      </w:r>
      <w:r w:rsidRPr="000D723D">
        <w:rPr>
          <w:color w:val="000000"/>
        </w:rPr>
        <w:t>reported to Audit and Governance Committee in January 2018.</w:t>
      </w:r>
    </w:p>
    <w:p w:rsidR="000D723D" w:rsidRPr="000D723D" w:rsidRDefault="000D723D" w:rsidP="000D723D">
      <w:pPr>
        <w:tabs>
          <w:tab w:val="num" w:pos="567"/>
        </w:tabs>
        <w:rPr>
          <w:color w:val="000000"/>
        </w:rPr>
      </w:pPr>
    </w:p>
    <w:p w:rsidR="000D723D" w:rsidRPr="000D723D" w:rsidRDefault="000D723D" w:rsidP="000D723D">
      <w:pPr>
        <w:pStyle w:val="ListParagraph"/>
        <w:numPr>
          <w:ilvl w:val="0"/>
          <w:numId w:val="1"/>
        </w:numPr>
        <w:tabs>
          <w:tab w:val="clear" w:pos="1080"/>
          <w:tab w:val="num" w:pos="567"/>
        </w:tabs>
        <w:autoSpaceDE w:val="0"/>
        <w:autoSpaceDN w:val="0"/>
        <w:ind w:left="567" w:hanging="567"/>
        <w:rPr>
          <w:rFonts w:ascii="Trebuchet MS" w:hAnsi="Trebuchet MS" w:cs="Arial"/>
          <w:color w:val="796860"/>
          <w:sz w:val="20"/>
          <w:szCs w:val="20"/>
          <w:lang w:eastAsia="en-GB"/>
        </w:rPr>
      </w:pPr>
      <w:r w:rsidRPr="000D723D">
        <w:rPr>
          <w:rFonts w:cs="Arial"/>
        </w:rPr>
        <w:t>The Council’s internal auditors are BDO LLP and are</w:t>
      </w:r>
      <w:r w:rsidRPr="000D723D">
        <w:rPr>
          <w:rFonts w:ascii="Trebuchet MS" w:hAnsi="Trebuchet MS" w:cs="Arial"/>
          <w:sz w:val="20"/>
          <w:szCs w:val="20"/>
          <w:lang w:eastAsia="en-GB"/>
        </w:rPr>
        <w:t xml:space="preserve"> </w:t>
      </w:r>
      <w:r w:rsidRPr="000D723D">
        <w:rPr>
          <w:rFonts w:cs="Arial"/>
          <w:lang w:eastAsia="en-GB"/>
        </w:rPr>
        <w:t>are required to provide the Audit and Governance Committee, and the Section 151 Officer with an opinion on the adequacy and effectiveness of risk management, governance and internal control processes, as well as arrangements to promote value for money.</w:t>
      </w:r>
    </w:p>
    <w:p w:rsidR="000D723D" w:rsidRPr="000D723D" w:rsidRDefault="000D723D" w:rsidP="000D723D">
      <w:pPr>
        <w:pStyle w:val="ListParagraph"/>
        <w:rPr>
          <w:rFonts w:cs="Arial"/>
        </w:rPr>
      </w:pPr>
    </w:p>
    <w:p w:rsidR="00C93BD7" w:rsidRPr="00C93BD7" w:rsidRDefault="007501EB" w:rsidP="00C93BD7">
      <w:pPr>
        <w:pStyle w:val="ListParagraph"/>
        <w:numPr>
          <w:ilvl w:val="0"/>
          <w:numId w:val="1"/>
        </w:numPr>
        <w:tabs>
          <w:tab w:val="clear" w:pos="1080"/>
          <w:tab w:val="num" w:pos="567"/>
        </w:tabs>
        <w:autoSpaceDE w:val="0"/>
        <w:autoSpaceDN w:val="0"/>
        <w:ind w:left="567" w:hanging="567"/>
        <w:rPr>
          <w:rFonts w:ascii="Trebuchet MS" w:hAnsi="Trebuchet MS" w:cs="Arial"/>
          <w:color w:val="796860"/>
          <w:sz w:val="20"/>
          <w:szCs w:val="20"/>
          <w:lang w:eastAsia="en-GB"/>
        </w:rPr>
      </w:pPr>
      <w:r w:rsidRPr="000D723D">
        <w:rPr>
          <w:rFonts w:cs="Arial"/>
        </w:rPr>
        <w:t>Overall the annual report from the Council’s internal auditors, which will be reported to the Audit and G</w:t>
      </w:r>
      <w:r w:rsidR="00667329" w:rsidRPr="000D723D">
        <w:rPr>
          <w:rFonts w:cs="Arial"/>
        </w:rPr>
        <w:t>overnance Committee in July 2018</w:t>
      </w:r>
      <w:r w:rsidRPr="000D723D">
        <w:rPr>
          <w:rFonts w:cs="Arial"/>
        </w:rPr>
        <w:t>, provides that, based on the evidence of the audits conducted</w:t>
      </w:r>
      <w:r w:rsidR="0044226B" w:rsidRPr="000D723D">
        <w:rPr>
          <w:rFonts w:cs="Arial"/>
        </w:rPr>
        <w:t xml:space="preserve"> </w:t>
      </w:r>
      <w:r w:rsidR="000D723D" w:rsidRPr="000D723D">
        <w:rPr>
          <w:rFonts w:cs="Arial"/>
          <w:lang w:eastAsia="en-GB"/>
        </w:rPr>
        <w:t>there are no signs of significant weaknes</w:t>
      </w:r>
      <w:r w:rsidR="000D723D">
        <w:rPr>
          <w:rFonts w:cs="Arial"/>
          <w:lang w:eastAsia="en-GB"/>
        </w:rPr>
        <w:t>ses in the framework of financial control, governance arrangements or the management of risk.</w:t>
      </w:r>
    </w:p>
    <w:p w:rsidR="00C93BD7" w:rsidRPr="00C93BD7" w:rsidRDefault="00C93BD7" w:rsidP="00C93BD7">
      <w:pPr>
        <w:pStyle w:val="ListParagraph"/>
        <w:rPr>
          <w:rFonts w:ascii="Trebuchet MS" w:hAnsi="Trebuchet MS" w:cs="Arial"/>
          <w:color w:val="796860"/>
          <w:sz w:val="20"/>
          <w:szCs w:val="20"/>
          <w:lang w:eastAsia="en-GB"/>
        </w:rPr>
      </w:pPr>
    </w:p>
    <w:p w:rsidR="00C82E88" w:rsidRDefault="00C82E88" w:rsidP="00C93BD7">
      <w:pPr>
        <w:pStyle w:val="ListParagraph"/>
        <w:numPr>
          <w:ilvl w:val="0"/>
          <w:numId w:val="1"/>
        </w:numPr>
        <w:tabs>
          <w:tab w:val="clear" w:pos="1080"/>
          <w:tab w:val="num" w:pos="567"/>
        </w:tabs>
        <w:autoSpaceDE w:val="0"/>
        <w:autoSpaceDN w:val="0"/>
        <w:ind w:left="567" w:hanging="567"/>
        <w:rPr>
          <w:rFonts w:cs="Arial"/>
          <w:lang w:eastAsia="en-GB"/>
        </w:rPr>
      </w:pPr>
      <w:r w:rsidRPr="00C93BD7">
        <w:rPr>
          <w:rFonts w:cs="Arial"/>
          <w:lang w:eastAsia="en-GB"/>
        </w:rPr>
        <w:t xml:space="preserve">In giving </w:t>
      </w:r>
      <w:r w:rsidR="000D723D" w:rsidRPr="00C93BD7">
        <w:rPr>
          <w:rFonts w:cs="Arial"/>
          <w:lang w:eastAsia="en-GB"/>
        </w:rPr>
        <w:t>their</w:t>
      </w:r>
      <w:r w:rsidRPr="00C93BD7">
        <w:rPr>
          <w:rFonts w:cs="Arial"/>
          <w:lang w:eastAsia="en-GB"/>
        </w:rPr>
        <w:t xml:space="preserve"> opinion </w:t>
      </w:r>
      <w:r w:rsidR="000D723D" w:rsidRPr="00C93BD7">
        <w:rPr>
          <w:rFonts w:cs="Arial"/>
          <w:lang w:eastAsia="en-GB"/>
        </w:rPr>
        <w:t>BDO have stated that</w:t>
      </w:r>
      <w:r w:rsidRPr="00C93BD7">
        <w:rPr>
          <w:rFonts w:cs="Arial"/>
          <w:lang w:eastAsia="en-GB"/>
        </w:rPr>
        <w:t xml:space="preserve"> as</w:t>
      </w:r>
      <w:r w:rsidR="00596B8F">
        <w:rPr>
          <w:rFonts w:cs="Arial"/>
          <w:lang w:eastAsia="en-GB"/>
        </w:rPr>
        <w:t>surance can never be absolute and that t</w:t>
      </w:r>
      <w:r w:rsidRPr="00C93BD7">
        <w:rPr>
          <w:rFonts w:cs="Arial"/>
          <w:lang w:eastAsia="en-GB"/>
        </w:rPr>
        <w:t>he internal audit service provides Oxford City Council with moderate assurance that there are no major weaknesses in the internal control system</w:t>
      </w:r>
      <w:r w:rsidR="000D723D" w:rsidRPr="00C93BD7">
        <w:rPr>
          <w:rFonts w:cs="Arial"/>
          <w:lang w:eastAsia="en-GB"/>
        </w:rPr>
        <w:t xml:space="preserve"> for the areas reviewed in 2017/</w:t>
      </w:r>
      <w:r w:rsidRPr="00C93BD7">
        <w:rPr>
          <w:rFonts w:cs="Arial"/>
          <w:lang w:eastAsia="en-GB"/>
        </w:rPr>
        <w:t>8. Therefore, the statement of assurance is not a guarantee that all aspects of the internal control sys</w:t>
      </w:r>
      <w:r w:rsidR="00C93BD7" w:rsidRPr="00C93BD7">
        <w:rPr>
          <w:rFonts w:cs="Arial"/>
          <w:lang w:eastAsia="en-GB"/>
        </w:rPr>
        <w:t xml:space="preserve">tem are adequate and </w:t>
      </w:r>
      <w:r w:rsidR="00C93BD7" w:rsidRPr="00C93BD7">
        <w:rPr>
          <w:rFonts w:cs="Arial"/>
          <w:lang w:eastAsia="en-GB"/>
        </w:rPr>
        <w:lastRenderedPageBreak/>
        <w:t xml:space="preserve">effective. </w:t>
      </w:r>
      <w:r w:rsidRPr="00C93BD7">
        <w:rPr>
          <w:rFonts w:cs="Arial"/>
          <w:lang w:eastAsia="en-GB"/>
        </w:rPr>
        <w:t xml:space="preserve">In assessing the level of assurance to be given, </w:t>
      </w:r>
      <w:r w:rsidR="00C93BD7">
        <w:rPr>
          <w:rFonts w:cs="Arial"/>
          <w:lang w:eastAsia="en-GB"/>
        </w:rPr>
        <w:t>the internal auditors</w:t>
      </w:r>
      <w:r w:rsidRPr="00C93BD7">
        <w:rPr>
          <w:rFonts w:cs="Arial"/>
          <w:lang w:eastAsia="en-GB"/>
        </w:rPr>
        <w:t xml:space="preserve"> have taken into account:</w:t>
      </w:r>
    </w:p>
    <w:p w:rsidR="00C93BD7" w:rsidRPr="00C93BD7" w:rsidRDefault="00C93BD7" w:rsidP="00C93BD7">
      <w:pPr>
        <w:tabs>
          <w:tab w:val="num" w:pos="567"/>
        </w:tabs>
        <w:autoSpaceDE w:val="0"/>
        <w:autoSpaceDN w:val="0"/>
        <w:rPr>
          <w:rFonts w:cs="Arial"/>
          <w:lang w:eastAsia="en-GB"/>
        </w:rPr>
      </w:pPr>
    </w:p>
    <w:p w:rsidR="00C82E88" w:rsidRPr="00C93BD7" w:rsidRDefault="00C82E88" w:rsidP="00C93BD7">
      <w:pPr>
        <w:pStyle w:val="ListParagraph"/>
        <w:numPr>
          <w:ilvl w:val="1"/>
          <w:numId w:val="31"/>
        </w:numPr>
        <w:autoSpaceDE w:val="0"/>
        <w:autoSpaceDN w:val="0"/>
        <w:ind w:left="993" w:hanging="284"/>
        <w:rPr>
          <w:rFonts w:cs="Arial"/>
          <w:lang w:eastAsia="en-GB"/>
        </w:rPr>
      </w:pPr>
      <w:r w:rsidRPr="00C93BD7">
        <w:rPr>
          <w:rFonts w:cs="Arial"/>
          <w:lang w:eastAsia="en-GB"/>
        </w:rPr>
        <w:t>All internal audits un</w:t>
      </w:r>
      <w:r w:rsidR="00C93BD7" w:rsidRPr="00C93BD7">
        <w:rPr>
          <w:rFonts w:cs="Arial"/>
          <w:lang w:eastAsia="en-GB"/>
        </w:rPr>
        <w:t>dertaken by BDO LLP during 2017/</w:t>
      </w:r>
      <w:r w:rsidRPr="00C93BD7">
        <w:rPr>
          <w:rFonts w:cs="Arial"/>
          <w:lang w:eastAsia="en-GB"/>
        </w:rPr>
        <w:t>18</w:t>
      </w:r>
    </w:p>
    <w:p w:rsidR="00C82E88" w:rsidRPr="00C93BD7" w:rsidRDefault="00C82E88" w:rsidP="00C93BD7">
      <w:pPr>
        <w:pStyle w:val="ListParagraph"/>
        <w:numPr>
          <w:ilvl w:val="1"/>
          <w:numId w:val="31"/>
        </w:numPr>
        <w:autoSpaceDE w:val="0"/>
        <w:autoSpaceDN w:val="0"/>
        <w:ind w:left="993" w:hanging="284"/>
        <w:rPr>
          <w:rFonts w:cs="Arial"/>
          <w:lang w:eastAsia="en-GB"/>
        </w:rPr>
      </w:pPr>
      <w:r w:rsidRPr="00C93BD7">
        <w:rPr>
          <w:rFonts w:cs="Arial"/>
          <w:lang w:eastAsia="en-GB"/>
        </w:rPr>
        <w:t>Any follow-up action taken in respect of audits from previous periods for these audit areas</w:t>
      </w:r>
    </w:p>
    <w:p w:rsidR="00C82E88" w:rsidRPr="00C93BD7" w:rsidRDefault="00C82E88" w:rsidP="00C93BD7">
      <w:pPr>
        <w:pStyle w:val="ListParagraph"/>
        <w:numPr>
          <w:ilvl w:val="1"/>
          <w:numId w:val="31"/>
        </w:numPr>
        <w:autoSpaceDE w:val="0"/>
        <w:autoSpaceDN w:val="0"/>
        <w:ind w:left="993" w:hanging="284"/>
        <w:rPr>
          <w:rFonts w:cs="Arial"/>
          <w:lang w:eastAsia="en-GB"/>
        </w:rPr>
      </w:pPr>
      <w:r w:rsidRPr="00C93BD7">
        <w:rPr>
          <w:rFonts w:cs="Arial"/>
          <w:lang w:eastAsia="en-GB"/>
        </w:rPr>
        <w:t>Whether any significant recommendations have not been accepted by management and the consequent risks</w:t>
      </w:r>
    </w:p>
    <w:p w:rsidR="00C82E88" w:rsidRPr="00C93BD7" w:rsidRDefault="00C82E88" w:rsidP="00C93BD7">
      <w:pPr>
        <w:pStyle w:val="ListParagraph"/>
        <w:numPr>
          <w:ilvl w:val="1"/>
          <w:numId w:val="31"/>
        </w:numPr>
        <w:autoSpaceDE w:val="0"/>
        <w:autoSpaceDN w:val="0"/>
        <w:ind w:left="993" w:hanging="284"/>
        <w:rPr>
          <w:rFonts w:cs="Arial"/>
          <w:lang w:eastAsia="en-GB"/>
        </w:rPr>
      </w:pPr>
      <w:r w:rsidRPr="00C93BD7">
        <w:rPr>
          <w:rFonts w:cs="Arial"/>
          <w:lang w:eastAsia="en-GB"/>
        </w:rPr>
        <w:t>The effects of any significant changes in the organisation’s objectives or systems</w:t>
      </w:r>
    </w:p>
    <w:p w:rsidR="00C82E88" w:rsidRPr="00C93BD7" w:rsidRDefault="00C82E88" w:rsidP="00C93BD7">
      <w:pPr>
        <w:pStyle w:val="ListParagraph"/>
        <w:numPr>
          <w:ilvl w:val="1"/>
          <w:numId w:val="31"/>
        </w:numPr>
        <w:autoSpaceDE w:val="0"/>
        <w:autoSpaceDN w:val="0"/>
        <w:ind w:left="993" w:hanging="284"/>
        <w:rPr>
          <w:rFonts w:cs="Arial"/>
          <w:lang w:eastAsia="en-GB"/>
        </w:rPr>
      </w:pPr>
      <w:r w:rsidRPr="00C93BD7">
        <w:rPr>
          <w:rFonts w:cs="Arial"/>
          <w:lang w:eastAsia="en-GB"/>
        </w:rPr>
        <w:t>Matters arising from previous internal audit reports to Oxford City Council</w:t>
      </w:r>
    </w:p>
    <w:p w:rsidR="00383886" w:rsidRDefault="00C82E88" w:rsidP="00DE6ECD">
      <w:pPr>
        <w:pStyle w:val="ListParagraph"/>
        <w:numPr>
          <w:ilvl w:val="1"/>
          <w:numId w:val="31"/>
        </w:numPr>
        <w:spacing w:before="120" w:after="60"/>
        <w:ind w:left="993" w:hanging="284"/>
        <w:rPr>
          <w:rFonts w:cs="Arial"/>
        </w:rPr>
      </w:pPr>
      <w:r w:rsidRPr="00596B8F">
        <w:rPr>
          <w:rFonts w:cs="Arial"/>
          <w:lang w:eastAsia="en-GB"/>
        </w:rPr>
        <w:t xml:space="preserve">Any limitations which may have been placed on the scope of internal audit – no restrictions were placed on </w:t>
      </w:r>
      <w:r w:rsidR="00C00ACC">
        <w:rPr>
          <w:rFonts w:cs="Arial"/>
          <w:lang w:eastAsia="en-GB"/>
        </w:rPr>
        <w:t>their</w:t>
      </w:r>
      <w:r w:rsidRPr="00596B8F">
        <w:rPr>
          <w:rFonts w:cs="Arial"/>
          <w:lang w:eastAsia="en-GB"/>
        </w:rPr>
        <w:t xml:space="preserve"> work.</w:t>
      </w:r>
    </w:p>
    <w:p w:rsidR="00596B8F" w:rsidRPr="00596B8F" w:rsidRDefault="00596B8F" w:rsidP="00596B8F">
      <w:pPr>
        <w:spacing w:before="120" w:after="60"/>
        <w:ind w:left="709"/>
        <w:rPr>
          <w:rFonts w:cs="Arial"/>
        </w:rPr>
      </w:pPr>
    </w:p>
    <w:p w:rsidR="009E406E" w:rsidRDefault="009E406E" w:rsidP="00DE6ECD">
      <w:pPr>
        <w:pStyle w:val="NormalWeb"/>
        <w:spacing w:before="120" w:after="60"/>
        <w:rPr>
          <w:rFonts w:ascii="Arial" w:hAnsi="Arial" w:cs="Arial"/>
          <w:b/>
          <w:u w:val="single"/>
        </w:rPr>
      </w:pPr>
    </w:p>
    <w:p w:rsidR="00DE6ECD" w:rsidRPr="009B37A3" w:rsidRDefault="00DE6ECD" w:rsidP="00DE6ECD">
      <w:pPr>
        <w:pStyle w:val="NormalWeb"/>
        <w:spacing w:before="120" w:after="60"/>
        <w:rPr>
          <w:rFonts w:ascii="Arial" w:hAnsi="Arial" w:cs="Arial"/>
          <w:b/>
          <w:u w:val="single"/>
        </w:rPr>
      </w:pPr>
      <w:r w:rsidRPr="009B37A3">
        <w:rPr>
          <w:rFonts w:ascii="Arial" w:hAnsi="Arial" w:cs="Arial"/>
          <w:b/>
          <w:u w:val="single"/>
        </w:rPr>
        <w:t>Appendix 1</w:t>
      </w:r>
    </w:p>
    <w:p w:rsidR="00DE6ECD" w:rsidRPr="009B37A3" w:rsidRDefault="00DE6ECD" w:rsidP="00DE6ECD">
      <w:pPr>
        <w:pStyle w:val="NormalWeb"/>
        <w:spacing w:before="120" w:after="60"/>
        <w:rPr>
          <w:rFonts w:ascii="Arial" w:hAnsi="Arial" w:cs="Arial"/>
          <w:b/>
        </w:rPr>
      </w:pPr>
    </w:p>
    <w:p w:rsidR="00DE6ECD" w:rsidRPr="009B37A3" w:rsidRDefault="00DE6ECD" w:rsidP="00DE6ECD">
      <w:pPr>
        <w:pStyle w:val="NormalWeb"/>
        <w:spacing w:before="120" w:after="60"/>
        <w:rPr>
          <w:rFonts w:ascii="Arial" w:hAnsi="Arial" w:cs="Arial"/>
          <w:b/>
        </w:rPr>
      </w:pPr>
      <w:r w:rsidRPr="009B37A3">
        <w:rPr>
          <w:rFonts w:ascii="Arial" w:hAnsi="Arial" w:cs="Arial"/>
          <w:b/>
        </w:rPr>
        <w:t>Awards/Recognition for 2017/18</w:t>
      </w:r>
    </w:p>
    <w:p w:rsidR="00DE6ECD" w:rsidRPr="009B37A3" w:rsidRDefault="00DE6ECD" w:rsidP="00DE6ECD">
      <w:pPr>
        <w:pStyle w:val="NormalWeb"/>
        <w:spacing w:before="120" w:after="60"/>
        <w:rPr>
          <w:rFonts w:ascii="Arial" w:hAnsi="Arial" w:cs="Arial"/>
        </w:rPr>
      </w:pPr>
    </w:p>
    <w:p w:rsidR="00DE6ECD" w:rsidRPr="009B37A3" w:rsidRDefault="00DE6ECD" w:rsidP="00DE6ECD">
      <w:pPr>
        <w:pStyle w:val="NormalWeb"/>
        <w:spacing w:before="120" w:after="60"/>
        <w:rPr>
          <w:rFonts w:ascii="Arial" w:hAnsi="Arial" w:cs="Arial"/>
        </w:rPr>
      </w:pPr>
      <w:r w:rsidRPr="009B37A3">
        <w:rPr>
          <w:rFonts w:ascii="Arial" w:hAnsi="Arial" w:cs="Arial"/>
        </w:rPr>
        <w:t>The awards/external accreditations earned by the Council in the year April 2017 – March 2018 are as follows:</w:t>
      </w:r>
    </w:p>
    <w:p w:rsidR="00DE6ECD" w:rsidRPr="009B37A3" w:rsidRDefault="00DE6ECD" w:rsidP="00DE6ECD">
      <w:pPr>
        <w:pStyle w:val="NormalWeb"/>
        <w:spacing w:before="120" w:after="60"/>
        <w:rPr>
          <w:rFonts w:ascii="Arial" w:hAnsi="Arial" w:cs="Arial"/>
        </w:rPr>
      </w:pPr>
    </w:p>
    <w:p w:rsidR="00DE6ECD" w:rsidRPr="009B37A3" w:rsidRDefault="00DE6ECD" w:rsidP="00DE6ECD">
      <w:pPr>
        <w:pStyle w:val="ListParagraph"/>
        <w:numPr>
          <w:ilvl w:val="0"/>
          <w:numId w:val="25"/>
        </w:numPr>
        <w:tabs>
          <w:tab w:val="num" w:pos="567"/>
        </w:tabs>
        <w:ind w:left="1418" w:hanging="567"/>
      </w:pPr>
      <w:r w:rsidRPr="009B37A3">
        <w:t>The Institute of Revenues, Ratings and Valuation Excellence in Innovation award was won by the Council’s Investigation Team</w:t>
      </w:r>
    </w:p>
    <w:p w:rsidR="00DE6ECD" w:rsidRPr="009B37A3" w:rsidRDefault="00DE6ECD" w:rsidP="00DE6ECD">
      <w:pPr>
        <w:pStyle w:val="ListParagraph"/>
        <w:numPr>
          <w:ilvl w:val="0"/>
          <w:numId w:val="25"/>
        </w:numPr>
        <w:tabs>
          <w:tab w:val="num" w:pos="567"/>
        </w:tabs>
        <w:ind w:left="1418" w:hanging="567"/>
      </w:pPr>
      <w:r w:rsidRPr="009B37A3">
        <w:t>The Council’s Recycling Team was the Local Authority Recycling Advisory Committee Best Team of the Year</w:t>
      </w:r>
    </w:p>
    <w:p w:rsidR="00DE6ECD" w:rsidRPr="009B37A3" w:rsidRDefault="00DE6ECD" w:rsidP="00DE6ECD">
      <w:pPr>
        <w:pStyle w:val="ListParagraph"/>
        <w:numPr>
          <w:ilvl w:val="0"/>
          <w:numId w:val="25"/>
        </w:numPr>
        <w:tabs>
          <w:tab w:val="num" w:pos="567"/>
        </w:tabs>
        <w:ind w:left="1418" w:hanging="567"/>
      </w:pPr>
      <w:r w:rsidRPr="009B37A3">
        <w:t xml:space="preserve">The Council’s </w:t>
      </w:r>
      <w:proofErr w:type="spellStart"/>
      <w:r w:rsidRPr="009B37A3">
        <w:t>Streetscene</w:t>
      </w:r>
      <w:proofErr w:type="spellEnd"/>
      <w:r w:rsidRPr="009B37A3">
        <w:t xml:space="preserve"> Team won the Association of Public Service Excellence award for Best Service Team of 2017 in the Street Cleansing and </w:t>
      </w:r>
      <w:proofErr w:type="spellStart"/>
      <w:r w:rsidRPr="009B37A3">
        <w:t>Streetscene</w:t>
      </w:r>
      <w:proofErr w:type="spellEnd"/>
      <w:r w:rsidRPr="009B37A3">
        <w:t xml:space="preserve"> category</w:t>
      </w:r>
    </w:p>
    <w:p w:rsidR="00DE6ECD" w:rsidRPr="009B37A3" w:rsidRDefault="00B01FAB" w:rsidP="00271692">
      <w:pPr>
        <w:pStyle w:val="ListParagraph"/>
        <w:numPr>
          <w:ilvl w:val="0"/>
          <w:numId w:val="25"/>
        </w:numPr>
        <w:tabs>
          <w:tab w:val="num" w:pos="567"/>
        </w:tabs>
        <w:ind w:left="1418" w:hanging="567"/>
      </w:pPr>
      <w:r w:rsidRPr="009B37A3">
        <w:t>Oxfordshire Environment Partnership of which the Council is part</w:t>
      </w:r>
      <w:r w:rsidR="000C67E3">
        <w:t xml:space="preserve"> </w:t>
      </w:r>
      <w:r w:rsidRPr="009B37A3">
        <w:t>won the Best Food Waste Reduction and Collection System 2017</w:t>
      </w:r>
    </w:p>
    <w:p w:rsidR="00DE6ECD" w:rsidRPr="009B37A3" w:rsidRDefault="00271692" w:rsidP="00DE6ECD">
      <w:pPr>
        <w:pStyle w:val="ListParagraph"/>
        <w:numPr>
          <w:ilvl w:val="0"/>
          <w:numId w:val="25"/>
        </w:numPr>
        <w:tabs>
          <w:tab w:val="num" w:pos="567"/>
        </w:tabs>
        <w:ind w:firstLine="131"/>
      </w:pPr>
      <w:r w:rsidRPr="009B37A3">
        <w:t>Investors In People Gold (2017</w:t>
      </w:r>
      <w:r w:rsidR="00DE6ECD" w:rsidRPr="009B37A3">
        <w:t>);</w:t>
      </w:r>
    </w:p>
    <w:p w:rsidR="00DE6ECD" w:rsidRPr="009B37A3" w:rsidRDefault="00DE6ECD" w:rsidP="006826AF">
      <w:pPr>
        <w:pStyle w:val="ListParagraph"/>
        <w:numPr>
          <w:ilvl w:val="0"/>
          <w:numId w:val="25"/>
        </w:numPr>
        <w:tabs>
          <w:tab w:val="num" w:pos="567"/>
        </w:tabs>
        <w:ind w:firstLine="131"/>
      </w:pPr>
      <w:r w:rsidRPr="009B37A3">
        <w:t>Customer Service Excellence accreditation for the entire organisation;</w:t>
      </w:r>
    </w:p>
    <w:p w:rsidR="00DE6ECD" w:rsidRDefault="00DE6ECD" w:rsidP="00DE6ECD">
      <w:pPr>
        <w:pStyle w:val="ListParagraph"/>
        <w:numPr>
          <w:ilvl w:val="0"/>
          <w:numId w:val="25"/>
        </w:numPr>
        <w:tabs>
          <w:tab w:val="num" w:pos="851"/>
        </w:tabs>
        <w:ind w:left="1418" w:hanging="567"/>
      </w:pPr>
      <w:r w:rsidRPr="009B37A3">
        <w:t>The legal team within Law &amp; Governance retained its LEXCEL accreditation;</w:t>
      </w:r>
    </w:p>
    <w:p w:rsidR="006826AF" w:rsidRPr="009B37A3" w:rsidRDefault="006826AF" w:rsidP="006826AF">
      <w:pPr>
        <w:pStyle w:val="ListParagraph"/>
        <w:numPr>
          <w:ilvl w:val="0"/>
          <w:numId w:val="25"/>
        </w:numPr>
        <w:tabs>
          <w:tab w:val="num" w:pos="567"/>
        </w:tabs>
        <w:ind w:left="1418" w:hanging="567"/>
      </w:pPr>
      <w:r w:rsidRPr="009B37A3">
        <w:t xml:space="preserve">Direct Services </w:t>
      </w:r>
      <w:r>
        <w:t xml:space="preserve">retained </w:t>
      </w:r>
      <w:r w:rsidRPr="009B37A3">
        <w:t xml:space="preserve"> the following accreditations: </w:t>
      </w:r>
      <w:r w:rsidRPr="009B37A3">
        <w:rPr>
          <w:rFonts w:cs="Arial"/>
        </w:rPr>
        <w:t xml:space="preserve">The Gas Safe Register (formerly CORGI), NICEIC (the electrical accreditation body), BM TRADA ISO9001:2008, BM TRADA ISO14001, </w:t>
      </w:r>
      <w:proofErr w:type="spellStart"/>
      <w:r w:rsidRPr="009B37A3">
        <w:rPr>
          <w:rFonts w:cs="Arial"/>
        </w:rPr>
        <w:t>Constructionline</w:t>
      </w:r>
      <w:proofErr w:type="spellEnd"/>
      <w:r w:rsidRPr="009B37A3">
        <w:rPr>
          <w:rFonts w:cs="Arial"/>
        </w:rPr>
        <w:t xml:space="preserve"> and has a registered MOT and ATF Testing Station;</w:t>
      </w:r>
    </w:p>
    <w:p w:rsidR="007A1860" w:rsidRPr="009B37A3" w:rsidRDefault="007A1860" w:rsidP="007A1860">
      <w:pPr>
        <w:pStyle w:val="ListParagraph"/>
        <w:numPr>
          <w:ilvl w:val="0"/>
          <w:numId w:val="25"/>
        </w:numPr>
        <w:tabs>
          <w:tab w:val="num" w:pos="567"/>
        </w:tabs>
        <w:ind w:left="1418" w:hanging="567"/>
      </w:pPr>
      <w:r w:rsidRPr="009B37A3">
        <w:t xml:space="preserve">Business Improvement </w:t>
      </w:r>
      <w:r>
        <w:t>reta</w:t>
      </w:r>
      <w:r w:rsidRPr="009B37A3">
        <w:t>ined Payroll Quality Partnership and the Payroll Assurance Scheme;</w:t>
      </w:r>
    </w:p>
    <w:p w:rsidR="00DE6ECD" w:rsidRPr="009B37A3" w:rsidRDefault="00DE6ECD" w:rsidP="00DE6ECD">
      <w:pPr>
        <w:pStyle w:val="ListParagraph"/>
        <w:numPr>
          <w:ilvl w:val="0"/>
          <w:numId w:val="25"/>
        </w:numPr>
        <w:tabs>
          <w:tab w:val="num" w:pos="567"/>
        </w:tabs>
        <w:ind w:left="1418" w:hanging="567"/>
      </w:pPr>
      <w:r w:rsidRPr="009B37A3">
        <w:t>QUEST for the Council’s Leisure Centres;</w:t>
      </w:r>
    </w:p>
    <w:p w:rsidR="00DE6ECD" w:rsidRDefault="00DE6ECD" w:rsidP="00DE6ECD">
      <w:pPr>
        <w:pStyle w:val="NormalWeb"/>
        <w:spacing w:before="120" w:after="60"/>
        <w:rPr>
          <w:rFonts w:ascii="Arial" w:hAnsi="Arial" w:cs="Arial"/>
        </w:rPr>
      </w:pPr>
    </w:p>
    <w:p w:rsidR="009E406E" w:rsidRDefault="009E406E" w:rsidP="00DE6ECD">
      <w:pPr>
        <w:pStyle w:val="NormalWeb"/>
        <w:spacing w:before="120" w:after="60"/>
        <w:rPr>
          <w:rFonts w:ascii="Arial" w:hAnsi="Arial" w:cs="Arial"/>
          <w:b/>
          <w:sz w:val="28"/>
          <w:szCs w:val="28"/>
        </w:rPr>
      </w:pPr>
    </w:p>
    <w:p w:rsidR="009E406E" w:rsidRDefault="009E406E" w:rsidP="00DE6ECD">
      <w:pPr>
        <w:pStyle w:val="NormalWeb"/>
        <w:spacing w:before="120" w:after="60"/>
        <w:rPr>
          <w:rFonts w:ascii="Arial" w:hAnsi="Arial" w:cs="Arial"/>
          <w:b/>
          <w:sz w:val="28"/>
          <w:szCs w:val="28"/>
        </w:rPr>
      </w:pPr>
    </w:p>
    <w:p w:rsidR="009E406E" w:rsidRDefault="009E406E" w:rsidP="00DE6ECD">
      <w:pPr>
        <w:pStyle w:val="NormalWeb"/>
        <w:spacing w:before="120" w:after="60"/>
        <w:rPr>
          <w:rFonts w:ascii="Arial" w:hAnsi="Arial" w:cs="Arial"/>
          <w:b/>
          <w:sz w:val="28"/>
          <w:szCs w:val="28"/>
        </w:rPr>
      </w:pPr>
    </w:p>
    <w:p w:rsidR="00383886" w:rsidRDefault="00383886" w:rsidP="00DE6ECD">
      <w:pPr>
        <w:pStyle w:val="NormalWeb"/>
        <w:spacing w:before="120" w:after="60"/>
        <w:rPr>
          <w:rFonts w:ascii="Arial" w:hAnsi="Arial" w:cs="Arial"/>
        </w:rPr>
      </w:pPr>
      <w:r>
        <w:rPr>
          <w:rFonts w:ascii="Arial" w:hAnsi="Arial" w:cs="Arial"/>
          <w:b/>
          <w:sz w:val="28"/>
          <w:szCs w:val="28"/>
        </w:rPr>
        <w:t>Statement of Overall Opinion</w:t>
      </w:r>
    </w:p>
    <w:p w:rsidR="00383886" w:rsidRDefault="00383886" w:rsidP="00DE6ECD">
      <w:pPr>
        <w:pStyle w:val="NormalWeb"/>
        <w:spacing w:before="120" w:after="60"/>
        <w:rPr>
          <w:rFonts w:ascii="Arial" w:hAnsi="Arial" w:cs="Arial"/>
        </w:rPr>
      </w:pPr>
    </w:p>
    <w:p w:rsidR="00383886" w:rsidRDefault="00383886" w:rsidP="00DE6ECD">
      <w:pPr>
        <w:pStyle w:val="NormalWeb"/>
        <w:spacing w:before="120" w:after="60"/>
        <w:rPr>
          <w:rFonts w:ascii="Arial" w:hAnsi="Arial" w:cs="Arial"/>
        </w:rPr>
      </w:pPr>
      <w:r>
        <w:rPr>
          <w:rFonts w:ascii="Arial" w:hAnsi="Arial" w:cs="Arial"/>
        </w:rPr>
        <w:t>It is our opinion, based upon the content of this AGS that the Council’s governance framework is robust and that the governance arrangements have proved to be highly effective during 2017/18.</w:t>
      </w:r>
    </w:p>
    <w:p w:rsidR="00383886" w:rsidRDefault="00383886" w:rsidP="00DE6ECD">
      <w:pPr>
        <w:pStyle w:val="NormalWeb"/>
        <w:spacing w:before="120" w:after="60"/>
        <w:rPr>
          <w:rFonts w:ascii="Arial" w:hAnsi="Arial" w:cs="Arial"/>
        </w:rPr>
      </w:pPr>
    </w:p>
    <w:p w:rsidR="00383886" w:rsidRDefault="00383886" w:rsidP="00DE6ECD">
      <w:pPr>
        <w:pStyle w:val="NormalWeb"/>
        <w:spacing w:before="120" w:after="60"/>
        <w:rPr>
          <w:rFonts w:ascii="Arial" w:hAnsi="Arial" w:cs="Arial"/>
        </w:rPr>
      </w:pPr>
    </w:p>
    <w:p w:rsidR="00383886" w:rsidRDefault="00383886" w:rsidP="00DE6ECD">
      <w:pPr>
        <w:pStyle w:val="NormalWeb"/>
        <w:spacing w:before="120" w:after="60"/>
        <w:rPr>
          <w:rFonts w:ascii="Arial" w:hAnsi="Arial" w:cs="Arial"/>
          <w:b/>
        </w:rPr>
      </w:pPr>
      <w:r w:rsidRPr="00383886">
        <w:rPr>
          <w:rFonts w:ascii="Arial" w:hAnsi="Arial" w:cs="Arial"/>
          <w:b/>
        </w:rPr>
        <w:t>Leader of the Council</w:t>
      </w:r>
      <w:r w:rsidRPr="00383886">
        <w:rPr>
          <w:rFonts w:ascii="Arial" w:hAnsi="Arial" w:cs="Arial"/>
          <w:b/>
        </w:rPr>
        <w:tab/>
      </w:r>
      <w:r w:rsidRPr="00383886">
        <w:rPr>
          <w:rFonts w:ascii="Arial" w:hAnsi="Arial" w:cs="Arial"/>
          <w:b/>
        </w:rPr>
        <w:tab/>
      </w:r>
      <w:r w:rsidRPr="00383886">
        <w:rPr>
          <w:rFonts w:ascii="Arial" w:hAnsi="Arial" w:cs="Arial"/>
          <w:b/>
        </w:rPr>
        <w:tab/>
        <w:t>………………………………..</w:t>
      </w:r>
    </w:p>
    <w:p w:rsidR="00383886" w:rsidRDefault="00383886" w:rsidP="00DE6ECD">
      <w:pPr>
        <w:pStyle w:val="NormalWeb"/>
        <w:spacing w:before="120" w:after="60"/>
        <w:rPr>
          <w:rFonts w:ascii="Arial" w:hAnsi="Arial" w:cs="Arial"/>
          <w:b/>
        </w:rPr>
      </w:pPr>
    </w:p>
    <w:p w:rsidR="00383886" w:rsidRDefault="00383886" w:rsidP="00DE6ECD">
      <w:pPr>
        <w:pStyle w:val="NormalWeb"/>
        <w:spacing w:before="120" w:after="6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383886" w:rsidRDefault="00383886" w:rsidP="00DE6ECD">
      <w:pPr>
        <w:pStyle w:val="NormalWeb"/>
        <w:spacing w:before="120" w:after="60"/>
        <w:rPr>
          <w:rFonts w:ascii="Arial" w:hAnsi="Arial" w:cs="Arial"/>
          <w:b/>
        </w:rPr>
      </w:pPr>
    </w:p>
    <w:p w:rsidR="00383886" w:rsidRDefault="00383886" w:rsidP="00DE6ECD">
      <w:pPr>
        <w:pStyle w:val="NormalWeb"/>
        <w:spacing w:before="120" w:after="60"/>
        <w:rPr>
          <w:rFonts w:ascii="Arial" w:hAnsi="Arial" w:cs="Arial"/>
          <w:b/>
        </w:rPr>
      </w:pPr>
    </w:p>
    <w:p w:rsidR="00383886" w:rsidRDefault="00383886" w:rsidP="00DE6ECD">
      <w:pPr>
        <w:pStyle w:val="NormalWeb"/>
        <w:spacing w:before="120" w:after="60"/>
        <w:rPr>
          <w:rFonts w:ascii="Arial" w:hAnsi="Arial" w:cs="Arial"/>
          <w:b/>
        </w:rPr>
      </w:pPr>
      <w:r>
        <w:rPr>
          <w:rFonts w:ascii="Arial" w:hAnsi="Arial" w:cs="Arial"/>
          <w:b/>
        </w:rPr>
        <w:t>Chief Executive</w:t>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383886" w:rsidRDefault="00383886" w:rsidP="00DE6ECD">
      <w:pPr>
        <w:pStyle w:val="NormalWeb"/>
        <w:spacing w:before="120" w:after="60"/>
        <w:rPr>
          <w:rFonts w:ascii="Arial" w:hAnsi="Arial" w:cs="Arial"/>
          <w:b/>
        </w:rPr>
      </w:pPr>
    </w:p>
    <w:p w:rsidR="00383886" w:rsidRPr="00383886" w:rsidRDefault="00383886" w:rsidP="00DE6ECD">
      <w:pPr>
        <w:pStyle w:val="NormalWeb"/>
        <w:spacing w:before="120" w:after="6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
    <w:sectPr w:rsidR="00383886" w:rsidRPr="00383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6FF"/>
    <w:multiLevelType w:val="hybridMultilevel"/>
    <w:tmpl w:val="5FA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E339C"/>
    <w:multiLevelType w:val="hybridMultilevel"/>
    <w:tmpl w:val="60E2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023C9"/>
    <w:multiLevelType w:val="hybridMultilevel"/>
    <w:tmpl w:val="69BA74D4"/>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C813CB8"/>
    <w:multiLevelType w:val="hybridMultilevel"/>
    <w:tmpl w:val="50682950"/>
    <w:lvl w:ilvl="0" w:tplc="6538A4CE">
      <w:start w:val="1"/>
      <w:numFmt w:val="decimal"/>
      <w:lvlText w:val="%1."/>
      <w:lvlJc w:val="left"/>
      <w:pPr>
        <w:tabs>
          <w:tab w:val="num" w:pos="1080"/>
        </w:tabs>
        <w:ind w:left="1080" w:hanging="360"/>
      </w:pPr>
      <w:rPr>
        <w:rFonts w:ascii="Arial" w:hAnsi="Arial" w:cs="Arial" w:hint="default"/>
        <w:color w:val="auto"/>
        <w:sz w:val="24"/>
        <w:szCs w:val="24"/>
        <w:u w:color="FFFFFF" w:themeColor="background1"/>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D33760C"/>
    <w:multiLevelType w:val="hybridMultilevel"/>
    <w:tmpl w:val="F44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83FED"/>
    <w:multiLevelType w:val="hybridMultilevel"/>
    <w:tmpl w:val="BBB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34E31"/>
    <w:multiLevelType w:val="hybridMultilevel"/>
    <w:tmpl w:val="CF0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D3E34"/>
    <w:multiLevelType w:val="hybridMultilevel"/>
    <w:tmpl w:val="1C4876C2"/>
    <w:lvl w:ilvl="0" w:tplc="4ADC32F4">
      <w:start w:val="1"/>
      <w:numFmt w:val="bullet"/>
      <w:lvlText w:val="•"/>
      <w:lvlJc w:val="left"/>
      <w:pPr>
        <w:tabs>
          <w:tab w:val="num" w:pos="720"/>
        </w:tabs>
        <w:ind w:left="720" w:hanging="360"/>
      </w:pPr>
      <w:rPr>
        <w:rFonts w:ascii="Arial" w:hAnsi="Arial" w:hint="default"/>
      </w:rPr>
    </w:lvl>
    <w:lvl w:ilvl="1" w:tplc="24E4C2C4">
      <w:start w:val="1"/>
      <w:numFmt w:val="bullet"/>
      <w:lvlText w:val="•"/>
      <w:lvlJc w:val="left"/>
      <w:pPr>
        <w:tabs>
          <w:tab w:val="num" w:pos="1440"/>
        </w:tabs>
        <w:ind w:left="1440" w:hanging="360"/>
      </w:pPr>
      <w:rPr>
        <w:rFonts w:ascii="Arial" w:hAnsi="Arial" w:hint="default"/>
      </w:rPr>
    </w:lvl>
    <w:lvl w:ilvl="2" w:tplc="5992C096" w:tentative="1">
      <w:start w:val="1"/>
      <w:numFmt w:val="bullet"/>
      <w:lvlText w:val="•"/>
      <w:lvlJc w:val="left"/>
      <w:pPr>
        <w:tabs>
          <w:tab w:val="num" w:pos="2160"/>
        </w:tabs>
        <w:ind w:left="2160" w:hanging="360"/>
      </w:pPr>
      <w:rPr>
        <w:rFonts w:ascii="Arial" w:hAnsi="Arial" w:hint="default"/>
      </w:rPr>
    </w:lvl>
    <w:lvl w:ilvl="3" w:tplc="D28837E8" w:tentative="1">
      <w:start w:val="1"/>
      <w:numFmt w:val="bullet"/>
      <w:lvlText w:val="•"/>
      <w:lvlJc w:val="left"/>
      <w:pPr>
        <w:tabs>
          <w:tab w:val="num" w:pos="2880"/>
        </w:tabs>
        <w:ind w:left="2880" w:hanging="360"/>
      </w:pPr>
      <w:rPr>
        <w:rFonts w:ascii="Arial" w:hAnsi="Arial" w:hint="default"/>
      </w:rPr>
    </w:lvl>
    <w:lvl w:ilvl="4" w:tplc="52BE9DFA" w:tentative="1">
      <w:start w:val="1"/>
      <w:numFmt w:val="bullet"/>
      <w:lvlText w:val="•"/>
      <w:lvlJc w:val="left"/>
      <w:pPr>
        <w:tabs>
          <w:tab w:val="num" w:pos="3600"/>
        </w:tabs>
        <w:ind w:left="3600" w:hanging="360"/>
      </w:pPr>
      <w:rPr>
        <w:rFonts w:ascii="Arial" w:hAnsi="Arial" w:hint="default"/>
      </w:rPr>
    </w:lvl>
    <w:lvl w:ilvl="5" w:tplc="2A208ED2" w:tentative="1">
      <w:start w:val="1"/>
      <w:numFmt w:val="bullet"/>
      <w:lvlText w:val="•"/>
      <w:lvlJc w:val="left"/>
      <w:pPr>
        <w:tabs>
          <w:tab w:val="num" w:pos="4320"/>
        </w:tabs>
        <w:ind w:left="4320" w:hanging="360"/>
      </w:pPr>
      <w:rPr>
        <w:rFonts w:ascii="Arial" w:hAnsi="Arial" w:hint="default"/>
      </w:rPr>
    </w:lvl>
    <w:lvl w:ilvl="6" w:tplc="71FAE5AC" w:tentative="1">
      <w:start w:val="1"/>
      <w:numFmt w:val="bullet"/>
      <w:lvlText w:val="•"/>
      <w:lvlJc w:val="left"/>
      <w:pPr>
        <w:tabs>
          <w:tab w:val="num" w:pos="5040"/>
        </w:tabs>
        <w:ind w:left="5040" w:hanging="360"/>
      </w:pPr>
      <w:rPr>
        <w:rFonts w:ascii="Arial" w:hAnsi="Arial" w:hint="default"/>
      </w:rPr>
    </w:lvl>
    <w:lvl w:ilvl="7" w:tplc="92ECD818" w:tentative="1">
      <w:start w:val="1"/>
      <w:numFmt w:val="bullet"/>
      <w:lvlText w:val="•"/>
      <w:lvlJc w:val="left"/>
      <w:pPr>
        <w:tabs>
          <w:tab w:val="num" w:pos="5760"/>
        </w:tabs>
        <w:ind w:left="5760" w:hanging="360"/>
      </w:pPr>
      <w:rPr>
        <w:rFonts w:ascii="Arial" w:hAnsi="Arial" w:hint="default"/>
      </w:rPr>
    </w:lvl>
    <w:lvl w:ilvl="8" w:tplc="96CCBE64" w:tentative="1">
      <w:start w:val="1"/>
      <w:numFmt w:val="bullet"/>
      <w:lvlText w:val="•"/>
      <w:lvlJc w:val="left"/>
      <w:pPr>
        <w:tabs>
          <w:tab w:val="num" w:pos="6480"/>
        </w:tabs>
        <w:ind w:left="6480" w:hanging="360"/>
      </w:pPr>
      <w:rPr>
        <w:rFonts w:ascii="Arial" w:hAnsi="Arial" w:hint="default"/>
      </w:rPr>
    </w:lvl>
  </w:abstractNum>
  <w:abstractNum w:abstractNumId="8">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15B44"/>
    <w:multiLevelType w:val="hybridMultilevel"/>
    <w:tmpl w:val="F89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12800"/>
    <w:multiLevelType w:val="hybridMultilevel"/>
    <w:tmpl w:val="5FB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B43E2"/>
    <w:multiLevelType w:val="hybridMultilevel"/>
    <w:tmpl w:val="FA124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87212F"/>
    <w:multiLevelType w:val="hybridMultilevel"/>
    <w:tmpl w:val="5DD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DC4255"/>
    <w:multiLevelType w:val="hybridMultilevel"/>
    <w:tmpl w:val="14E87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094A0E"/>
    <w:multiLevelType w:val="hybridMultilevel"/>
    <w:tmpl w:val="8D5EB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5703A6"/>
    <w:multiLevelType w:val="hybridMultilevel"/>
    <w:tmpl w:val="99C47238"/>
    <w:lvl w:ilvl="0" w:tplc="08090001">
      <w:start w:val="1"/>
      <w:numFmt w:val="bullet"/>
      <w:lvlText w:val=""/>
      <w:lvlJc w:val="left"/>
      <w:pPr>
        <w:ind w:left="1440" w:hanging="360"/>
      </w:pPr>
      <w:rPr>
        <w:rFonts w:ascii="Symbol" w:hAnsi="Symbol" w:hint="default"/>
      </w:rPr>
    </w:lvl>
    <w:lvl w:ilvl="1" w:tplc="702CE01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0D1AA6"/>
    <w:multiLevelType w:val="hybridMultilevel"/>
    <w:tmpl w:val="EFB80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F397BCA"/>
    <w:multiLevelType w:val="hybridMultilevel"/>
    <w:tmpl w:val="0D5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177FA"/>
    <w:multiLevelType w:val="hybridMultilevel"/>
    <w:tmpl w:val="A2B69C9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665123"/>
    <w:multiLevelType w:val="hybridMultilevel"/>
    <w:tmpl w:val="D2A8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BA92A95"/>
    <w:multiLevelType w:val="hybridMultilevel"/>
    <w:tmpl w:val="8316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EDF5D22"/>
    <w:multiLevelType w:val="hybridMultilevel"/>
    <w:tmpl w:val="0B200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2636DC"/>
    <w:multiLevelType w:val="hybridMultilevel"/>
    <w:tmpl w:val="D5D86EAC"/>
    <w:lvl w:ilvl="0" w:tplc="0809000F">
      <w:start w:val="2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B85A2A"/>
    <w:multiLevelType w:val="hybridMultilevel"/>
    <w:tmpl w:val="EF5061E2"/>
    <w:lvl w:ilvl="0" w:tplc="0809000F">
      <w:start w:val="1"/>
      <w:numFmt w:val="decimal"/>
      <w:lvlText w:val="%1."/>
      <w:lvlJc w:val="left"/>
      <w:pPr>
        <w:tabs>
          <w:tab w:val="num" w:pos="1080"/>
        </w:tabs>
        <w:ind w:left="1080" w:hanging="360"/>
      </w:pPr>
      <w:rPr>
        <w:rFonts w:hint="default"/>
        <w:color w:val="auto"/>
        <w:u w:color="FFFFFF" w:themeColor="background1"/>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0194DAF"/>
    <w:multiLevelType w:val="hybridMultilevel"/>
    <w:tmpl w:val="0BF4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FC1E2F"/>
    <w:multiLevelType w:val="hybridMultilevel"/>
    <w:tmpl w:val="2A64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4539B4"/>
    <w:multiLevelType w:val="hybridMultilevel"/>
    <w:tmpl w:val="BA003B00"/>
    <w:lvl w:ilvl="0" w:tplc="EF7AB91A">
      <w:start w:val="1"/>
      <w:numFmt w:val="bullet"/>
      <w:lvlText w:val="•"/>
      <w:lvlJc w:val="left"/>
      <w:pPr>
        <w:tabs>
          <w:tab w:val="num" w:pos="720"/>
        </w:tabs>
        <w:ind w:left="720" w:hanging="360"/>
      </w:pPr>
      <w:rPr>
        <w:rFonts w:ascii="Arial" w:hAnsi="Arial" w:hint="default"/>
      </w:rPr>
    </w:lvl>
    <w:lvl w:ilvl="1" w:tplc="C7D60F2A">
      <w:start w:val="1"/>
      <w:numFmt w:val="bullet"/>
      <w:lvlText w:val="•"/>
      <w:lvlJc w:val="left"/>
      <w:pPr>
        <w:tabs>
          <w:tab w:val="num" w:pos="1440"/>
        </w:tabs>
        <w:ind w:left="1440" w:hanging="360"/>
      </w:pPr>
      <w:rPr>
        <w:rFonts w:ascii="Arial" w:hAnsi="Arial" w:hint="default"/>
      </w:rPr>
    </w:lvl>
    <w:lvl w:ilvl="2" w:tplc="FB8A9E4C">
      <w:start w:val="1"/>
      <w:numFmt w:val="bullet"/>
      <w:lvlText w:val="•"/>
      <w:lvlJc w:val="left"/>
      <w:pPr>
        <w:tabs>
          <w:tab w:val="num" w:pos="2160"/>
        </w:tabs>
        <w:ind w:left="2160" w:hanging="360"/>
      </w:pPr>
      <w:rPr>
        <w:rFonts w:ascii="Arial" w:hAnsi="Arial" w:hint="default"/>
      </w:rPr>
    </w:lvl>
    <w:lvl w:ilvl="3" w:tplc="7638CD3C">
      <w:start w:val="1"/>
      <w:numFmt w:val="bullet"/>
      <w:lvlText w:val="•"/>
      <w:lvlJc w:val="left"/>
      <w:pPr>
        <w:tabs>
          <w:tab w:val="num" w:pos="2880"/>
        </w:tabs>
        <w:ind w:left="2880" w:hanging="360"/>
      </w:pPr>
      <w:rPr>
        <w:rFonts w:ascii="Arial" w:hAnsi="Arial" w:hint="default"/>
      </w:rPr>
    </w:lvl>
    <w:lvl w:ilvl="4" w:tplc="FFF027F2">
      <w:start w:val="1"/>
      <w:numFmt w:val="bullet"/>
      <w:lvlText w:val="•"/>
      <w:lvlJc w:val="left"/>
      <w:pPr>
        <w:tabs>
          <w:tab w:val="num" w:pos="3600"/>
        </w:tabs>
        <w:ind w:left="3600" w:hanging="360"/>
      </w:pPr>
      <w:rPr>
        <w:rFonts w:ascii="Arial" w:hAnsi="Arial" w:hint="default"/>
      </w:rPr>
    </w:lvl>
    <w:lvl w:ilvl="5" w:tplc="E15E531A">
      <w:start w:val="1"/>
      <w:numFmt w:val="bullet"/>
      <w:lvlText w:val="•"/>
      <w:lvlJc w:val="left"/>
      <w:pPr>
        <w:tabs>
          <w:tab w:val="num" w:pos="4320"/>
        </w:tabs>
        <w:ind w:left="4320" w:hanging="360"/>
      </w:pPr>
      <w:rPr>
        <w:rFonts w:ascii="Arial" w:hAnsi="Arial" w:hint="default"/>
      </w:rPr>
    </w:lvl>
    <w:lvl w:ilvl="6" w:tplc="99D28B90">
      <w:start w:val="1"/>
      <w:numFmt w:val="bullet"/>
      <w:lvlText w:val="•"/>
      <w:lvlJc w:val="left"/>
      <w:pPr>
        <w:tabs>
          <w:tab w:val="num" w:pos="5040"/>
        </w:tabs>
        <w:ind w:left="5040" w:hanging="360"/>
      </w:pPr>
      <w:rPr>
        <w:rFonts w:ascii="Arial" w:hAnsi="Arial" w:hint="default"/>
      </w:rPr>
    </w:lvl>
    <w:lvl w:ilvl="7" w:tplc="A14C517C">
      <w:start w:val="1"/>
      <w:numFmt w:val="bullet"/>
      <w:lvlText w:val="•"/>
      <w:lvlJc w:val="left"/>
      <w:pPr>
        <w:tabs>
          <w:tab w:val="num" w:pos="5760"/>
        </w:tabs>
        <w:ind w:left="5760" w:hanging="360"/>
      </w:pPr>
      <w:rPr>
        <w:rFonts w:ascii="Arial" w:hAnsi="Arial" w:hint="default"/>
      </w:rPr>
    </w:lvl>
    <w:lvl w:ilvl="8" w:tplc="63D41F92">
      <w:start w:val="1"/>
      <w:numFmt w:val="bullet"/>
      <w:lvlText w:val="•"/>
      <w:lvlJc w:val="left"/>
      <w:pPr>
        <w:tabs>
          <w:tab w:val="num" w:pos="6480"/>
        </w:tabs>
        <w:ind w:left="6480" w:hanging="360"/>
      </w:pPr>
      <w:rPr>
        <w:rFonts w:ascii="Arial" w:hAnsi="Arial" w:hint="default"/>
      </w:rPr>
    </w:lvl>
  </w:abstractNum>
  <w:abstractNum w:abstractNumId="27">
    <w:nsid w:val="78CB5BF4"/>
    <w:multiLevelType w:val="hybridMultilevel"/>
    <w:tmpl w:val="CF64EE00"/>
    <w:lvl w:ilvl="0" w:tplc="39EA1C9A">
      <w:start w:val="1"/>
      <w:numFmt w:val="bullet"/>
      <w:lvlText w:val="•"/>
      <w:lvlJc w:val="left"/>
      <w:pPr>
        <w:tabs>
          <w:tab w:val="num" w:pos="720"/>
        </w:tabs>
        <w:ind w:left="720" w:hanging="360"/>
      </w:pPr>
      <w:rPr>
        <w:rFonts w:ascii="Arial" w:hAnsi="Arial" w:hint="default"/>
      </w:rPr>
    </w:lvl>
    <w:lvl w:ilvl="1" w:tplc="B86A6040">
      <w:start w:val="1"/>
      <w:numFmt w:val="bullet"/>
      <w:lvlText w:val="•"/>
      <w:lvlJc w:val="left"/>
      <w:pPr>
        <w:tabs>
          <w:tab w:val="num" w:pos="1440"/>
        </w:tabs>
        <w:ind w:left="1440" w:hanging="360"/>
      </w:pPr>
      <w:rPr>
        <w:rFonts w:ascii="Arial" w:hAnsi="Arial" w:hint="default"/>
      </w:rPr>
    </w:lvl>
    <w:lvl w:ilvl="2" w:tplc="05480406" w:tentative="1">
      <w:start w:val="1"/>
      <w:numFmt w:val="bullet"/>
      <w:lvlText w:val="•"/>
      <w:lvlJc w:val="left"/>
      <w:pPr>
        <w:tabs>
          <w:tab w:val="num" w:pos="2160"/>
        </w:tabs>
        <w:ind w:left="2160" w:hanging="360"/>
      </w:pPr>
      <w:rPr>
        <w:rFonts w:ascii="Arial" w:hAnsi="Arial" w:hint="default"/>
      </w:rPr>
    </w:lvl>
    <w:lvl w:ilvl="3" w:tplc="B80E9676" w:tentative="1">
      <w:start w:val="1"/>
      <w:numFmt w:val="bullet"/>
      <w:lvlText w:val="•"/>
      <w:lvlJc w:val="left"/>
      <w:pPr>
        <w:tabs>
          <w:tab w:val="num" w:pos="2880"/>
        </w:tabs>
        <w:ind w:left="2880" w:hanging="360"/>
      </w:pPr>
      <w:rPr>
        <w:rFonts w:ascii="Arial" w:hAnsi="Arial" w:hint="default"/>
      </w:rPr>
    </w:lvl>
    <w:lvl w:ilvl="4" w:tplc="B22A7256" w:tentative="1">
      <w:start w:val="1"/>
      <w:numFmt w:val="bullet"/>
      <w:lvlText w:val="•"/>
      <w:lvlJc w:val="left"/>
      <w:pPr>
        <w:tabs>
          <w:tab w:val="num" w:pos="3600"/>
        </w:tabs>
        <w:ind w:left="3600" w:hanging="360"/>
      </w:pPr>
      <w:rPr>
        <w:rFonts w:ascii="Arial" w:hAnsi="Arial" w:hint="default"/>
      </w:rPr>
    </w:lvl>
    <w:lvl w:ilvl="5" w:tplc="D7DA5600" w:tentative="1">
      <w:start w:val="1"/>
      <w:numFmt w:val="bullet"/>
      <w:lvlText w:val="•"/>
      <w:lvlJc w:val="left"/>
      <w:pPr>
        <w:tabs>
          <w:tab w:val="num" w:pos="4320"/>
        </w:tabs>
        <w:ind w:left="4320" w:hanging="360"/>
      </w:pPr>
      <w:rPr>
        <w:rFonts w:ascii="Arial" w:hAnsi="Arial" w:hint="default"/>
      </w:rPr>
    </w:lvl>
    <w:lvl w:ilvl="6" w:tplc="ADE837D2" w:tentative="1">
      <w:start w:val="1"/>
      <w:numFmt w:val="bullet"/>
      <w:lvlText w:val="•"/>
      <w:lvlJc w:val="left"/>
      <w:pPr>
        <w:tabs>
          <w:tab w:val="num" w:pos="5040"/>
        </w:tabs>
        <w:ind w:left="5040" w:hanging="360"/>
      </w:pPr>
      <w:rPr>
        <w:rFonts w:ascii="Arial" w:hAnsi="Arial" w:hint="default"/>
      </w:rPr>
    </w:lvl>
    <w:lvl w:ilvl="7" w:tplc="E02A5CDC" w:tentative="1">
      <w:start w:val="1"/>
      <w:numFmt w:val="bullet"/>
      <w:lvlText w:val="•"/>
      <w:lvlJc w:val="left"/>
      <w:pPr>
        <w:tabs>
          <w:tab w:val="num" w:pos="5760"/>
        </w:tabs>
        <w:ind w:left="5760" w:hanging="360"/>
      </w:pPr>
      <w:rPr>
        <w:rFonts w:ascii="Arial" w:hAnsi="Arial" w:hint="default"/>
      </w:rPr>
    </w:lvl>
    <w:lvl w:ilvl="8" w:tplc="CA76AF9E" w:tentative="1">
      <w:start w:val="1"/>
      <w:numFmt w:val="bullet"/>
      <w:lvlText w:val="•"/>
      <w:lvlJc w:val="left"/>
      <w:pPr>
        <w:tabs>
          <w:tab w:val="num" w:pos="6480"/>
        </w:tabs>
        <w:ind w:left="6480" w:hanging="360"/>
      </w:pPr>
      <w:rPr>
        <w:rFonts w:ascii="Arial" w:hAnsi="Arial" w:hint="default"/>
      </w:rPr>
    </w:lvl>
  </w:abstractNum>
  <w:abstractNum w:abstractNumId="28">
    <w:nsid w:val="7B596A3C"/>
    <w:multiLevelType w:val="hybridMultilevel"/>
    <w:tmpl w:val="BD4A74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F012C46"/>
    <w:multiLevelType w:val="hybridMultilevel"/>
    <w:tmpl w:val="8CF88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0"/>
  </w:num>
  <w:num w:numId="4">
    <w:abstractNumId w:val="12"/>
  </w:num>
  <w:num w:numId="5">
    <w:abstractNumId w:val="11"/>
  </w:num>
  <w:num w:numId="6">
    <w:abstractNumId w:val="20"/>
  </w:num>
  <w:num w:numId="7">
    <w:abstractNumId w:val="21"/>
  </w:num>
  <w:num w:numId="8">
    <w:abstractNumId w:val="24"/>
  </w:num>
  <w:num w:numId="9">
    <w:abstractNumId w:val="25"/>
  </w:num>
  <w:num w:numId="10">
    <w:abstractNumId w:val="5"/>
  </w:num>
  <w:num w:numId="11">
    <w:abstractNumId w:val="9"/>
  </w:num>
  <w:num w:numId="12">
    <w:abstractNumId w:val="17"/>
  </w:num>
  <w:num w:numId="13">
    <w:abstractNumId w:val="6"/>
  </w:num>
  <w:num w:numId="14">
    <w:abstractNumId w:val="4"/>
  </w:num>
  <w:num w:numId="15">
    <w:abstractNumId w:val="1"/>
  </w:num>
  <w:num w:numId="16">
    <w:abstractNumId w:val="26"/>
  </w:num>
  <w:num w:numId="17">
    <w:abstractNumId w:val="18"/>
  </w:num>
  <w:num w:numId="18">
    <w:abstractNumId w:val="13"/>
  </w:num>
  <w:num w:numId="19">
    <w:abstractNumId w:val="16"/>
  </w:num>
  <w:num w:numId="20">
    <w:abstractNumId w:val="19"/>
  </w:num>
  <w:num w:numId="21">
    <w:abstractNumId w:val="14"/>
  </w:num>
  <w:num w:numId="22">
    <w:abstractNumId w:val="7"/>
  </w:num>
  <w:num w:numId="23">
    <w:abstractNumId w:val="2"/>
  </w:num>
  <w:num w:numId="24">
    <w:abstractNumId w:val="27"/>
  </w:num>
  <w:num w:numId="25">
    <w:abstractNumId w:val="8"/>
  </w:num>
  <w:num w:numId="26">
    <w:abstractNumId w:val="29"/>
  </w:num>
  <w:num w:numId="27">
    <w:abstractNumId w:val="19"/>
  </w:num>
  <w:num w:numId="28">
    <w:abstractNumId w:val="10"/>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B1"/>
    <w:rsid w:val="00013896"/>
    <w:rsid w:val="00024B02"/>
    <w:rsid w:val="00050C27"/>
    <w:rsid w:val="00064246"/>
    <w:rsid w:val="00074EDE"/>
    <w:rsid w:val="00090E05"/>
    <w:rsid w:val="000A36FC"/>
    <w:rsid w:val="000B4310"/>
    <w:rsid w:val="000C67E3"/>
    <w:rsid w:val="000D219D"/>
    <w:rsid w:val="000D723D"/>
    <w:rsid w:val="000E0FAA"/>
    <w:rsid w:val="000F21A7"/>
    <w:rsid w:val="0011302F"/>
    <w:rsid w:val="00163032"/>
    <w:rsid w:val="00181FF2"/>
    <w:rsid w:val="001971B1"/>
    <w:rsid w:val="0019769F"/>
    <w:rsid w:val="001B059F"/>
    <w:rsid w:val="00200D17"/>
    <w:rsid w:val="00204D2C"/>
    <w:rsid w:val="002425BA"/>
    <w:rsid w:val="00255271"/>
    <w:rsid w:val="00263FE9"/>
    <w:rsid w:val="00271692"/>
    <w:rsid w:val="00276E68"/>
    <w:rsid w:val="002811FD"/>
    <w:rsid w:val="00297B03"/>
    <w:rsid w:val="002C3D08"/>
    <w:rsid w:val="002D39C6"/>
    <w:rsid w:val="002D6528"/>
    <w:rsid w:val="002E4E7C"/>
    <w:rsid w:val="002F10E1"/>
    <w:rsid w:val="00311CC1"/>
    <w:rsid w:val="003204AE"/>
    <w:rsid w:val="00383886"/>
    <w:rsid w:val="003862DD"/>
    <w:rsid w:val="00396EA4"/>
    <w:rsid w:val="003B6BAC"/>
    <w:rsid w:val="003F17F6"/>
    <w:rsid w:val="004000D7"/>
    <w:rsid w:val="00423D17"/>
    <w:rsid w:val="0044226B"/>
    <w:rsid w:val="00454F8B"/>
    <w:rsid w:val="004C29E1"/>
    <w:rsid w:val="004C2CAF"/>
    <w:rsid w:val="004D4170"/>
    <w:rsid w:val="004E5B9D"/>
    <w:rsid w:val="004F047B"/>
    <w:rsid w:val="004F68DC"/>
    <w:rsid w:val="0050187E"/>
    <w:rsid w:val="00504E43"/>
    <w:rsid w:val="00515CA6"/>
    <w:rsid w:val="005344D8"/>
    <w:rsid w:val="00536EDF"/>
    <w:rsid w:val="005571E9"/>
    <w:rsid w:val="00583CB6"/>
    <w:rsid w:val="00596B8F"/>
    <w:rsid w:val="005A6D13"/>
    <w:rsid w:val="005D212E"/>
    <w:rsid w:val="005E361D"/>
    <w:rsid w:val="00611ED6"/>
    <w:rsid w:val="00667329"/>
    <w:rsid w:val="006826AF"/>
    <w:rsid w:val="00683981"/>
    <w:rsid w:val="006906D3"/>
    <w:rsid w:val="00695E90"/>
    <w:rsid w:val="006B17B1"/>
    <w:rsid w:val="006F4B10"/>
    <w:rsid w:val="00714F7B"/>
    <w:rsid w:val="0072373E"/>
    <w:rsid w:val="007501EB"/>
    <w:rsid w:val="00757AFC"/>
    <w:rsid w:val="007908F4"/>
    <w:rsid w:val="007A1860"/>
    <w:rsid w:val="007D260B"/>
    <w:rsid w:val="0080508C"/>
    <w:rsid w:val="00837463"/>
    <w:rsid w:val="00846E3B"/>
    <w:rsid w:val="008543AB"/>
    <w:rsid w:val="008734C2"/>
    <w:rsid w:val="008A22C6"/>
    <w:rsid w:val="008A3612"/>
    <w:rsid w:val="008C05BB"/>
    <w:rsid w:val="008C356A"/>
    <w:rsid w:val="008D7BD4"/>
    <w:rsid w:val="008F1242"/>
    <w:rsid w:val="00932980"/>
    <w:rsid w:val="00981A37"/>
    <w:rsid w:val="00984BE0"/>
    <w:rsid w:val="0099114F"/>
    <w:rsid w:val="009A2FEB"/>
    <w:rsid w:val="009A3450"/>
    <w:rsid w:val="009A66F9"/>
    <w:rsid w:val="009B2D21"/>
    <w:rsid w:val="009B37A3"/>
    <w:rsid w:val="009E406E"/>
    <w:rsid w:val="009F77FE"/>
    <w:rsid w:val="00A05428"/>
    <w:rsid w:val="00A330BA"/>
    <w:rsid w:val="00A41D95"/>
    <w:rsid w:val="00A556C6"/>
    <w:rsid w:val="00A83DDA"/>
    <w:rsid w:val="00A91E92"/>
    <w:rsid w:val="00AD0302"/>
    <w:rsid w:val="00AD6B92"/>
    <w:rsid w:val="00AF4BFB"/>
    <w:rsid w:val="00B01FAB"/>
    <w:rsid w:val="00B55031"/>
    <w:rsid w:val="00B55AE3"/>
    <w:rsid w:val="00BA4462"/>
    <w:rsid w:val="00BC4719"/>
    <w:rsid w:val="00BC4B0B"/>
    <w:rsid w:val="00BC72B1"/>
    <w:rsid w:val="00C00ACC"/>
    <w:rsid w:val="00C07F80"/>
    <w:rsid w:val="00C34DA4"/>
    <w:rsid w:val="00C46D6E"/>
    <w:rsid w:val="00C53518"/>
    <w:rsid w:val="00C564C0"/>
    <w:rsid w:val="00C5703C"/>
    <w:rsid w:val="00C60189"/>
    <w:rsid w:val="00C82E88"/>
    <w:rsid w:val="00C93BD7"/>
    <w:rsid w:val="00CA2C7B"/>
    <w:rsid w:val="00CA5735"/>
    <w:rsid w:val="00CB7D7D"/>
    <w:rsid w:val="00D25517"/>
    <w:rsid w:val="00D43FC1"/>
    <w:rsid w:val="00D76AA0"/>
    <w:rsid w:val="00D813F6"/>
    <w:rsid w:val="00D84ABF"/>
    <w:rsid w:val="00D979AF"/>
    <w:rsid w:val="00DA6CC6"/>
    <w:rsid w:val="00DB5C2A"/>
    <w:rsid w:val="00DE6ECD"/>
    <w:rsid w:val="00DF1B40"/>
    <w:rsid w:val="00E0377C"/>
    <w:rsid w:val="00E104FC"/>
    <w:rsid w:val="00E1691D"/>
    <w:rsid w:val="00E20B91"/>
    <w:rsid w:val="00E315F2"/>
    <w:rsid w:val="00E60983"/>
    <w:rsid w:val="00E85032"/>
    <w:rsid w:val="00E86CDD"/>
    <w:rsid w:val="00E87063"/>
    <w:rsid w:val="00EA0110"/>
    <w:rsid w:val="00EB7EDE"/>
    <w:rsid w:val="00EE1263"/>
    <w:rsid w:val="00EF3745"/>
    <w:rsid w:val="00F33D5C"/>
    <w:rsid w:val="00F45740"/>
    <w:rsid w:val="00F675C2"/>
    <w:rsid w:val="00FA47D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809B-DE1A-4112-B657-B9C3AED7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egriffiths</cp:lastModifiedBy>
  <cp:revision>13</cp:revision>
  <cp:lastPrinted>2018-06-06T16:17:00Z</cp:lastPrinted>
  <dcterms:created xsi:type="dcterms:W3CDTF">2018-06-11T20:55:00Z</dcterms:created>
  <dcterms:modified xsi:type="dcterms:W3CDTF">2018-07-09T13:14:00Z</dcterms:modified>
</cp:coreProperties>
</file>